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9F1" w:rsidRPr="008A0A1E" w:rsidRDefault="009979F1" w:rsidP="00AD4585">
      <w:pPr>
        <w:jc w:val="right"/>
      </w:pPr>
      <w:r w:rsidRPr="008A0A1E">
        <w:t xml:space="preserve">Приложение </w:t>
      </w:r>
    </w:p>
    <w:p w:rsidR="009979F1" w:rsidRPr="008A0A1E" w:rsidRDefault="009979F1" w:rsidP="00AD4585">
      <w:pPr>
        <w:jc w:val="right"/>
      </w:pPr>
      <w:r w:rsidRPr="008A0A1E">
        <w:t xml:space="preserve">к Постановлению </w:t>
      </w:r>
    </w:p>
    <w:p w:rsidR="009979F1" w:rsidRPr="008A0A1E" w:rsidRDefault="009979F1" w:rsidP="00AD4585">
      <w:pPr>
        <w:jc w:val="right"/>
      </w:pPr>
      <w:r w:rsidRPr="008A0A1E">
        <w:t xml:space="preserve">Ярославской областной Думы </w:t>
      </w:r>
    </w:p>
    <w:p w:rsidR="009979F1" w:rsidRPr="008A0A1E" w:rsidRDefault="009979F1" w:rsidP="00AD4585">
      <w:pPr>
        <w:jc w:val="right"/>
      </w:pPr>
      <w:r w:rsidRPr="008A0A1E">
        <w:t xml:space="preserve">от </w:t>
      </w:r>
      <w:r>
        <w:rPr>
          <w:lang w:val="en-US"/>
        </w:rPr>
        <w:t>26</w:t>
      </w:r>
      <w:r>
        <w:t>.12.2</w:t>
      </w:r>
      <w:r>
        <w:rPr>
          <w:lang w:val="en-US"/>
        </w:rPr>
        <w:t>012</w:t>
      </w:r>
      <w:r>
        <w:t xml:space="preserve"> № </w:t>
      </w:r>
      <w:bookmarkStart w:id="0" w:name="_GoBack"/>
      <w:bookmarkEnd w:id="0"/>
      <w:r>
        <w:t>145</w:t>
      </w:r>
    </w:p>
    <w:p w:rsidR="009979F1" w:rsidRPr="008A0A1E" w:rsidRDefault="009979F1" w:rsidP="00AD4585">
      <w:pPr>
        <w:jc w:val="center"/>
        <w:rPr>
          <w:sz w:val="28"/>
          <w:szCs w:val="28"/>
        </w:rPr>
      </w:pPr>
    </w:p>
    <w:p w:rsidR="009979F1" w:rsidRPr="00455E75" w:rsidRDefault="009979F1" w:rsidP="00AD4585">
      <w:pPr>
        <w:jc w:val="center"/>
        <w:rPr>
          <w:b/>
          <w:sz w:val="28"/>
          <w:szCs w:val="28"/>
        </w:rPr>
      </w:pPr>
      <w:r w:rsidRPr="00455E75">
        <w:rPr>
          <w:b/>
          <w:sz w:val="28"/>
          <w:szCs w:val="28"/>
        </w:rPr>
        <w:t>Замечания и предложения к проекту федерального закона</w:t>
      </w:r>
    </w:p>
    <w:p w:rsidR="009979F1" w:rsidRDefault="009979F1" w:rsidP="00AD4585">
      <w:pPr>
        <w:jc w:val="center"/>
        <w:rPr>
          <w:b/>
          <w:sz w:val="28"/>
          <w:szCs w:val="28"/>
        </w:rPr>
      </w:pPr>
      <w:r w:rsidRPr="00455E75">
        <w:rPr>
          <w:b/>
          <w:sz w:val="28"/>
          <w:szCs w:val="28"/>
        </w:rPr>
        <w:t>№ 68702-6 «О федеральной контрактной системе в сфере закупок товаров, работ и услуг»</w:t>
      </w:r>
    </w:p>
    <w:p w:rsidR="009979F1" w:rsidRPr="00455E75" w:rsidRDefault="009979F1" w:rsidP="00AD4585">
      <w:pPr>
        <w:jc w:val="center"/>
        <w:rPr>
          <w:b/>
          <w:sz w:val="28"/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993"/>
        <w:gridCol w:w="6662"/>
        <w:gridCol w:w="6662"/>
      </w:tblGrid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 xml:space="preserve">№ </w:t>
            </w:r>
            <w:r w:rsidRPr="00E54846">
              <w:t>п/п</w:t>
            </w:r>
          </w:p>
        </w:tc>
        <w:tc>
          <w:tcPr>
            <w:tcW w:w="993" w:type="dxa"/>
          </w:tcPr>
          <w:p w:rsidR="009979F1" w:rsidRPr="008A0A1E" w:rsidRDefault="009979F1" w:rsidP="00C75168">
            <w:pPr>
              <w:jc w:val="center"/>
            </w:pPr>
            <w:r w:rsidRPr="008A0A1E">
              <w:t>Норма</w:t>
            </w:r>
          </w:p>
          <w:p w:rsidR="009979F1" w:rsidRPr="008A0A1E" w:rsidRDefault="009979F1" w:rsidP="00C75168">
            <w:pPr>
              <w:jc w:val="center"/>
            </w:pPr>
            <w:r w:rsidRPr="008A0A1E">
              <w:t>прое</w:t>
            </w:r>
            <w:r w:rsidRPr="008A0A1E">
              <w:t>к</w:t>
            </w:r>
            <w:r w:rsidRPr="008A0A1E">
              <w:t>та</w:t>
            </w:r>
          </w:p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8A0A1E">
              <w:t>закона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</w:p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Замечания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</w:p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Предложение по внесению изменений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1.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ч. 1 ст. 2</w:t>
            </w:r>
          </w:p>
        </w:tc>
        <w:tc>
          <w:tcPr>
            <w:tcW w:w="6662" w:type="dxa"/>
          </w:tcPr>
          <w:p w:rsidR="009979F1" w:rsidRPr="00455E75" w:rsidRDefault="009979F1" w:rsidP="00C75168">
            <w:pPr>
              <w:jc w:val="both"/>
              <w:rPr>
                <w:sz w:val="28"/>
                <w:szCs w:val="28"/>
              </w:rPr>
            </w:pPr>
            <w:r w:rsidRPr="00455E75">
              <w:rPr>
                <w:sz w:val="28"/>
                <w:szCs w:val="28"/>
              </w:rPr>
              <w:t>Из текста следует, что процедура заключения ко</w:t>
            </w:r>
            <w:r w:rsidRPr="00455E75">
              <w:rPr>
                <w:sz w:val="28"/>
                <w:szCs w:val="28"/>
              </w:rPr>
              <w:t>н</w:t>
            </w:r>
            <w:r w:rsidRPr="00455E75">
              <w:rPr>
                <w:sz w:val="28"/>
                <w:szCs w:val="28"/>
              </w:rPr>
              <w:t xml:space="preserve">тракта не является частью процедуры определения поставщиков. </w:t>
            </w:r>
          </w:p>
        </w:tc>
        <w:tc>
          <w:tcPr>
            <w:tcW w:w="6662" w:type="dxa"/>
          </w:tcPr>
          <w:p w:rsidR="009979F1" w:rsidRPr="00C75168" w:rsidRDefault="009979F1" w:rsidP="00C81B8B">
            <w:pPr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Перечень отношений, регулируемых законодательс</w:t>
            </w:r>
            <w:r w:rsidRPr="00C75168">
              <w:rPr>
                <w:sz w:val="28"/>
                <w:szCs w:val="28"/>
              </w:rPr>
              <w:t>т</w:t>
            </w:r>
            <w:r w:rsidRPr="00C75168">
              <w:rPr>
                <w:sz w:val="28"/>
                <w:szCs w:val="28"/>
              </w:rPr>
              <w:t>вом о федеральной контрактной системе (ФКС), н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обходимо дополнить после слов «государственных и муниципальных нужд,» словами «заключением и»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2.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ст. 3</w:t>
            </w:r>
          </w:p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9979F1" w:rsidRPr="00455E75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455E75">
              <w:rPr>
                <w:sz w:val="28"/>
                <w:szCs w:val="28"/>
              </w:rPr>
              <w:t>1. В п. 9 государственные органы и органы местного самоуправления указаны наряду с заказчиками. В то время как сами указанные органы являются заказч</w:t>
            </w:r>
            <w:r w:rsidRPr="00455E75">
              <w:rPr>
                <w:sz w:val="28"/>
                <w:szCs w:val="28"/>
              </w:rPr>
              <w:t>и</w:t>
            </w:r>
            <w:r w:rsidRPr="00455E75">
              <w:rPr>
                <w:sz w:val="28"/>
                <w:szCs w:val="28"/>
              </w:rPr>
              <w:t xml:space="preserve">ками (п. 3 и п. 4 ч. 1 ст. 3).  </w:t>
            </w:r>
          </w:p>
          <w:p w:rsidR="009979F1" w:rsidRPr="00455E75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455E75">
              <w:rPr>
                <w:sz w:val="28"/>
                <w:szCs w:val="28"/>
              </w:rPr>
              <w:t>2. Нет дефиниций понятий «прогноз закупок», «план закупок», «государственные нужды», «муниципал</w:t>
            </w:r>
            <w:r w:rsidRPr="00455E75">
              <w:rPr>
                <w:sz w:val="28"/>
                <w:szCs w:val="28"/>
              </w:rPr>
              <w:t>ь</w:t>
            </w:r>
            <w:r w:rsidRPr="00455E75">
              <w:rPr>
                <w:sz w:val="28"/>
                <w:szCs w:val="28"/>
              </w:rPr>
              <w:t>ные нужды».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1. Из п. 9 исключить слова «, государственными о</w:t>
            </w:r>
            <w:r w:rsidRPr="00C75168">
              <w:rPr>
                <w:sz w:val="28"/>
                <w:szCs w:val="28"/>
              </w:rPr>
              <w:t>р</w:t>
            </w:r>
            <w:r w:rsidRPr="00C75168">
              <w:rPr>
                <w:sz w:val="28"/>
                <w:szCs w:val="28"/>
              </w:rPr>
              <w:t xml:space="preserve">ганами и органами местного самоуправления» или уточнить, в какой иной роли выступают эти органы. </w:t>
            </w:r>
          </w:p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</w:p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2. Внести в статью 3 дефиниции понятий «прогноз за</w:t>
            </w:r>
            <w:r w:rsidRPr="00C75168">
              <w:rPr>
                <w:sz w:val="28"/>
                <w:szCs w:val="28"/>
              </w:rPr>
              <w:softHyphen/>
              <w:t>купок», «план закупок», «государственные ну</w:t>
            </w:r>
            <w:r w:rsidRPr="00C75168">
              <w:rPr>
                <w:sz w:val="28"/>
                <w:szCs w:val="28"/>
              </w:rPr>
              <w:t>ж</w:t>
            </w:r>
            <w:r w:rsidRPr="00C75168">
              <w:rPr>
                <w:sz w:val="28"/>
                <w:szCs w:val="28"/>
              </w:rPr>
              <w:t>ды», «муниципальные нужды».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3.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ст. 4</w:t>
            </w:r>
          </w:p>
        </w:tc>
        <w:tc>
          <w:tcPr>
            <w:tcW w:w="6662" w:type="dxa"/>
          </w:tcPr>
          <w:p w:rsidR="009979F1" w:rsidRPr="00455E75" w:rsidRDefault="009979F1" w:rsidP="00C75168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455E75">
              <w:rPr>
                <w:sz w:val="28"/>
                <w:szCs w:val="28"/>
              </w:rPr>
              <w:t>Гражданам предоставлено право осуществлять о</w:t>
            </w:r>
            <w:r w:rsidRPr="00455E75">
              <w:rPr>
                <w:sz w:val="28"/>
                <w:szCs w:val="28"/>
              </w:rPr>
              <w:t>б</w:t>
            </w:r>
            <w:r w:rsidRPr="00455E75">
              <w:rPr>
                <w:sz w:val="28"/>
                <w:szCs w:val="28"/>
              </w:rPr>
              <w:t>щественный контроль за соблюдением требований настоящего Федерального закона и иных нормати</w:t>
            </w:r>
            <w:r w:rsidRPr="00455E75">
              <w:rPr>
                <w:sz w:val="28"/>
                <w:szCs w:val="28"/>
              </w:rPr>
              <w:t>в</w:t>
            </w:r>
            <w:r w:rsidRPr="00455E75">
              <w:rPr>
                <w:sz w:val="28"/>
                <w:szCs w:val="28"/>
              </w:rPr>
              <w:t>ных правовых актов о федеральной контрактной си</w:t>
            </w:r>
            <w:r w:rsidRPr="00455E75">
              <w:rPr>
                <w:sz w:val="28"/>
                <w:szCs w:val="28"/>
              </w:rPr>
              <w:t>с</w:t>
            </w:r>
            <w:r w:rsidRPr="00455E75">
              <w:rPr>
                <w:sz w:val="28"/>
                <w:szCs w:val="28"/>
              </w:rPr>
              <w:t>теме. Вместе с тем, по тексту статьи указанное право не раскрывается. Указаны только права и обязанн</w:t>
            </w:r>
            <w:r w:rsidRPr="00455E75">
              <w:rPr>
                <w:sz w:val="28"/>
                <w:szCs w:val="28"/>
              </w:rPr>
              <w:t>о</w:t>
            </w:r>
            <w:r w:rsidRPr="00455E75">
              <w:rPr>
                <w:sz w:val="28"/>
                <w:szCs w:val="28"/>
              </w:rPr>
              <w:t>сти общественных объединений и объединений юр</w:t>
            </w:r>
            <w:r w:rsidRPr="00455E75">
              <w:rPr>
                <w:sz w:val="28"/>
                <w:szCs w:val="28"/>
              </w:rPr>
              <w:t>и</w:t>
            </w:r>
            <w:r w:rsidRPr="00455E75">
              <w:rPr>
                <w:sz w:val="28"/>
                <w:szCs w:val="28"/>
              </w:rPr>
              <w:t>дических лиц.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Конкретизировать права и обязанности граждан при проведении общественного контроля.</w:t>
            </w:r>
          </w:p>
        </w:tc>
      </w:tr>
      <w:tr w:rsidR="009979F1" w:rsidRPr="008A0A1E" w:rsidTr="000901A6">
        <w:trPr>
          <w:trHeight w:val="322"/>
        </w:trPr>
        <w:tc>
          <w:tcPr>
            <w:tcW w:w="567" w:type="dxa"/>
            <w:vMerge w:val="restart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4.</w:t>
            </w:r>
          </w:p>
        </w:tc>
        <w:tc>
          <w:tcPr>
            <w:tcW w:w="993" w:type="dxa"/>
            <w:vMerge w:val="restart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ч. 7 ст. 18</w:t>
            </w:r>
          </w:p>
        </w:tc>
        <w:tc>
          <w:tcPr>
            <w:tcW w:w="6662" w:type="dxa"/>
            <w:vMerge w:val="restart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Основания изменений плана закупок не соответс</w:t>
            </w:r>
            <w:r w:rsidRPr="00C75168">
              <w:rPr>
                <w:sz w:val="28"/>
                <w:szCs w:val="28"/>
              </w:rPr>
              <w:t>т</w:t>
            </w:r>
            <w:r w:rsidRPr="00C75168">
              <w:rPr>
                <w:sz w:val="28"/>
                <w:szCs w:val="28"/>
              </w:rPr>
              <w:t>вуют основаниям изменения плана-графика (ч. 9 ст. 21), несмотря на то, что это взаимосвязанные док</w:t>
            </w:r>
            <w:r w:rsidRPr="00C75168">
              <w:rPr>
                <w:sz w:val="28"/>
                <w:szCs w:val="28"/>
              </w:rPr>
              <w:t>у</w:t>
            </w:r>
            <w:r w:rsidRPr="00C75168">
              <w:rPr>
                <w:sz w:val="28"/>
                <w:szCs w:val="28"/>
              </w:rPr>
              <w:t>менты и изменение одного неизбежно должно пр</w:t>
            </w:r>
            <w:r w:rsidRPr="00C75168">
              <w:rPr>
                <w:sz w:val="28"/>
                <w:szCs w:val="28"/>
              </w:rPr>
              <w:t>и</w:t>
            </w:r>
            <w:r w:rsidRPr="00C75168">
              <w:rPr>
                <w:sz w:val="28"/>
                <w:szCs w:val="28"/>
              </w:rPr>
              <w:t>вести к изменению другого.</w:t>
            </w:r>
          </w:p>
        </w:tc>
        <w:tc>
          <w:tcPr>
            <w:tcW w:w="6662" w:type="dxa"/>
            <w:vMerge w:val="restart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Привести основания изменений планов в соответс</w:t>
            </w:r>
            <w:r w:rsidRPr="00C75168">
              <w:rPr>
                <w:sz w:val="28"/>
                <w:szCs w:val="28"/>
              </w:rPr>
              <w:t>т</w:t>
            </w:r>
            <w:r w:rsidRPr="00C75168">
              <w:rPr>
                <w:sz w:val="28"/>
                <w:szCs w:val="28"/>
              </w:rPr>
              <w:t>вие или добавить пункт следующего содержания:</w:t>
            </w:r>
          </w:p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</w:p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«4) в иных случаях при соответствующих изменен</w:t>
            </w:r>
            <w:r w:rsidRPr="00C75168">
              <w:rPr>
                <w:sz w:val="28"/>
                <w:szCs w:val="28"/>
              </w:rPr>
              <w:t>и</w:t>
            </w:r>
            <w:r w:rsidRPr="00C75168">
              <w:rPr>
                <w:sz w:val="28"/>
                <w:szCs w:val="28"/>
              </w:rPr>
              <w:t>ях плана-графика закупок».</w:t>
            </w:r>
          </w:p>
        </w:tc>
      </w:tr>
      <w:tr w:rsidR="009979F1" w:rsidRPr="008A0A1E" w:rsidTr="000901A6">
        <w:trPr>
          <w:trHeight w:val="322"/>
        </w:trPr>
        <w:tc>
          <w:tcPr>
            <w:tcW w:w="567" w:type="dxa"/>
            <w:vMerge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vMerge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vMerge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5.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ст.19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Предлагаем ограничить количество контрактов с обязательным обоснованием закупок минимальным ценовым порогом в 100 000 рублей, иначе обоснов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нию будет подлежать и «мелкая» закупка, что нео</w:t>
            </w:r>
            <w:r w:rsidRPr="00C75168">
              <w:rPr>
                <w:sz w:val="28"/>
                <w:szCs w:val="28"/>
              </w:rPr>
              <w:t>п</w:t>
            </w:r>
            <w:r w:rsidRPr="00C75168">
              <w:rPr>
                <w:sz w:val="28"/>
                <w:szCs w:val="28"/>
              </w:rPr>
              <w:t>равданно с точки зрения трудозатрат (несопоставимо им).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В части 1 статьи 19 после слова «закупки» допо</w:t>
            </w:r>
            <w:r w:rsidRPr="00C75168">
              <w:rPr>
                <w:sz w:val="28"/>
                <w:szCs w:val="28"/>
              </w:rPr>
              <w:t>л</w:t>
            </w:r>
            <w:r w:rsidRPr="00C75168">
              <w:rPr>
                <w:sz w:val="28"/>
                <w:szCs w:val="28"/>
              </w:rPr>
              <w:t>нить словами «на сумму свыше 100 000 рублей»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6.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ч. 2 ст. 20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Оценочные категории. Не названы критерии «изб</w:t>
            </w:r>
            <w:r w:rsidRPr="00C75168">
              <w:rPr>
                <w:sz w:val="28"/>
                <w:szCs w:val="28"/>
              </w:rPr>
              <w:t>ы</w:t>
            </w:r>
            <w:r w:rsidRPr="00C75168">
              <w:rPr>
                <w:sz w:val="28"/>
                <w:szCs w:val="28"/>
              </w:rPr>
              <w:t>точности». Ограничение минимально достаточными критериями не обеспечит высокоэффективный раб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>чий процесс, который требует высокой технической и иных видов оснащенности.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 xml:space="preserve">В части 2 статьи 20 </w:t>
            </w:r>
          </w:p>
          <w:p w:rsidR="009979F1" w:rsidRPr="00C75168" w:rsidRDefault="009979F1" w:rsidP="00C75168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Слова «имеющих избыточные потребительские свойства или иные характеристики либо» исключить</w:t>
            </w:r>
          </w:p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7.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ч. 7 ст. 21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В соответствии с бюджетным законодательством з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коны (решения) о бюджете принимаются, как прав</w:t>
            </w:r>
            <w:r w:rsidRPr="00C75168">
              <w:rPr>
                <w:sz w:val="28"/>
                <w:szCs w:val="28"/>
              </w:rPr>
              <w:t>и</w:t>
            </w:r>
            <w:r w:rsidRPr="00C75168">
              <w:rPr>
                <w:sz w:val="28"/>
                <w:szCs w:val="28"/>
              </w:rPr>
              <w:t>ло, в конце декабря текущего года. Объективно п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>лучается, что чем ниже уровень власти, тем сложнее обеспечить закупки на начало следующего года. К примеру, закон о бюджете субъекта Федерации пр</w:t>
            </w:r>
            <w:r w:rsidRPr="00C75168">
              <w:rPr>
                <w:sz w:val="28"/>
                <w:szCs w:val="28"/>
              </w:rPr>
              <w:t>и</w:t>
            </w:r>
            <w:r w:rsidRPr="00C75168">
              <w:rPr>
                <w:sz w:val="28"/>
                <w:szCs w:val="28"/>
              </w:rPr>
              <w:t>нимается 15 декабря. В связи с чем заказчикам н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 xml:space="preserve">достаточно времени для разработки и утверждения планов-графиков  в установленный законопроектом срок – после принятия закона (решения) о бюджете, но до начала очередного финансового года. 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1. Увеличить срок для утверждения заказчиками планов-графиков либо связать его с принятием бю</w:t>
            </w:r>
            <w:r w:rsidRPr="00C75168">
              <w:rPr>
                <w:sz w:val="28"/>
                <w:szCs w:val="28"/>
              </w:rPr>
              <w:t>д</w:t>
            </w:r>
            <w:r w:rsidRPr="00C75168">
              <w:rPr>
                <w:sz w:val="28"/>
                <w:szCs w:val="28"/>
              </w:rPr>
              <w:t xml:space="preserve">жета на очередной финансовый год.   </w:t>
            </w:r>
          </w:p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2. Предлагается добавить в основания проведения закупки у единственного источника (ч. 1 ст. 85 зак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 xml:space="preserve">нопроекта) следующую формулировку:   </w:t>
            </w:r>
          </w:p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Добавить пункт 32 в часть 1 статьи 85</w:t>
            </w:r>
          </w:p>
          <w:p w:rsidR="009979F1" w:rsidRPr="00C75168" w:rsidRDefault="009979F1" w:rsidP="00872C4E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32) «существует срочная потребность в закупке и проведение процедур торгов или использование ин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>го способа закупки является нецелесообразным при условии, что обстоятельства, обусловившие сро</w:t>
            </w:r>
            <w:r w:rsidRPr="00C75168">
              <w:rPr>
                <w:sz w:val="28"/>
                <w:szCs w:val="28"/>
              </w:rPr>
              <w:t>ч</w:t>
            </w:r>
            <w:r w:rsidRPr="00C75168">
              <w:rPr>
                <w:sz w:val="28"/>
                <w:szCs w:val="28"/>
              </w:rPr>
              <w:t>ность, нельзя было предвидеть или они не являлись результатом медлительности со стороны заказчика, в том числе путем пролонгации и соответствующего увеличения цены договора с поставщиком, осущес</w:t>
            </w:r>
            <w:r w:rsidRPr="00C75168">
              <w:rPr>
                <w:sz w:val="28"/>
                <w:szCs w:val="28"/>
              </w:rPr>
              <w:t>т</w:t>
            </w:r>
            <w:r w:rsidRPr="00C75168">
              <w:rPr>
                <w:sz w:val="28"/>
                <w:szCs w:val="28"/>
              </w:rPr>
              <w:t>вляющим поставки товаров</w:t>
            </w:r>
            <w:r w:rsidRPr="00872C4E">
              <w:rPr>
                <w:sz w:val="28"/>
                <w:szCs w:val="28"/>
              </w:rPr>
              <w:t xml:space="preserve">, работ </w:t>
            </w:r>
            <w:r w:rsidRPr="00C75168">
              <w:rPr>
                <w:sz w:val="28"/>
                <w:szCs w:val="28"/>
              </w:rPr>
              <w:t>или услуг в пр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дыдущем периоде на срок не более чем 1 квартал».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8.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п. 5 ч. 1 ст. 22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Не установлен порядок определения начальной (максимальной) цены контракта при использовании запросного метода.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Установить порядок с указанием, что необходимо брать заказчиком за основу при определении начал</w:t>
            </w:r>
            <w:r w:rsidRPr="00C75168">
              <w:rPr>
                <w:sz w:val="28"/>
                <w:szCs w:val="28"/>
              </w:rPr>
              <w:t>ь</w:t>
            </w:r>
            <w:r w:rsidRPr="00C75168">
              <w:rPr>
                <w:sz w:val="28"/>
                <w:szCs w:val="28"/>
              </w:rPr>
              <w:t>ной (максимальной) цены контракта: среднее ари</w:t>
            </w:r>
            <w:r w:rsidRPr="00C75168">
              <w:rPr>
                <w:sz w:val="28"/>
                <w:szCs w:val="28"/>
              </w:rPr>
              <w:t>ф</w:t>
            </w:r>
            <w:r w:rsidRPr="00C75168">
              <w:rPr>
                <w:sz w:val="28"/>
                <w:szCs w:val="28"/>
              </w:rPr>
              <w:t>метическое или минимальное из значений коммерч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ских предложений субъектов предпринимательской деятельности.</w:t>
            </w:r>
          </w:p>
          <w:p w:rsidR="009979F1" w:rsidRPr="00C75168" w:rsidRDefault="009979F1" w:rsidP="006942B6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 xml:space="preserve">Внести изменения в пункт 5 части 1 статьи </w:t>
            </w:r>
            <w:r w:rsidRPr="00872C4E">
              <w:rPr>
                <w:sz w:val="28"/>
                <w:szCs w:val="28"/>
              </w:rPr>
              <w:t>22.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9.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ч. 2 ст. 22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Среди источников информации не указан Интернет. Не понятно, является ли Интернет достоверным и</w:t>
            </w:r>
            <w:r w:rsidRPr="00C75168">
              <w:rPr>
                <w:sz w:val="28"/>
                <w:szCs w:val="28"/>
              </w:rPr>
              <w:t>с</w:t>
            </w:r>
            <w:r w:rsidRPr="00C75168">
              <w:rPr>
                <w:sz w:val="28"/>
                <w:szCs w:val="28"/>
              </w:rPr>
              <w:t>точником информации или нет. Если разработчик считает возможным использовать Интернет в качес</w:t>
            </w:r>
            <w:r w:rsidRPr="00C75168">
              <w:rPr>
                <w:sz w:val="28"/>
                <w:szCs w:val="28"/>
              </w:rPr>
              <w:t>т</w:t>
            </w:r>
            <w:r w:rsidRPr="00C75168">
              <w:rPr>
                <w:sz w:val="28"/>
                <w:szCs w:val="28"/>
              </w:rPr>
              <w:t>ве источника, его необходимо выделить отдельно.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После слов «и иные достоверные источники инфо</w:t>
            </w:r>
            <w:r w:rsidRPr="00C75168">
              <w:rPr>
                <w:sz w:val="28"/>
                <w:szCs w:val="28"/>
              </w:rPr>
              <w:t>р</w:t>
            </w:r>
            <w:r w:rsidRPr="00C75168">
              <w:rPr>
                <w:sz w:val="28"/>
                <w:szCs w:val="28"/>
              </w:rPr>
              <w:t>мации» добавить слова «, а также на общедоступных официальных сайтах или страницах в информацио</w:t>
            </w:r>
            <w:r w:rsidRPr="00C75168">
              <w:rPr>
                <w:sz w:val="28"/>
                <w:szCs w:val="28"/>
              </w:rPr>
              <w:t>н</w:t>
            </w:r>
            <w:r w:rsidRPr="00C75168">
              <w:rPr>
                <w:sz w:val="28"/>
                <w:szCs w:val="28"/>
              </w:rPr>
              <w:t>но-телекоммуникацион</w:t>
            </w:r>
            <w:r w:rsidRPr="00C75168">
              <w:rPr>
                <w:sz w:val="28"/>
                <w:szCs w:val="28"/>
              </w:rPr>
              <w:softHyphen/>
              <w:t>ной сети «Интернет» поста</w:t>
            </w:r>
            <w:r w:rsidRPr="00C75168">
              <w:rPr>
                <w:sz w:val="28"/>
                <w:szCs w:val="28"/>
              </w:rPr>
              <w:t>в</w:t>
            </w:r>
            <w:r w:rsidRPr="00C75168">
              <w:rPr>
                <w:sz w:val="28"/>
                <w:szCs w:val="28"/>
              </w:rPr>
              <w:t>щиков».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10.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ч. 6 ст. 22</w:t>
            </w:r>
          </w:p>
        </w:tc>
        <w:tc>
          <w:tcPr>
            <w:tcW w:w="6662" w:type="dxa"/>
          </w:tcPr>
          <w:p w:rsidR="009979F1" w:rsidRPr="00C75168" w:rsidRDefault="009979F1" w:rsidP="005F767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Установление для должностных лиц заказчиков ди</w:t>
            </w:r>
            <w:r w:rsidRPr="00C75168">
              <w:rPr>
                <w:sz w:val="28"/>
                <w:szCs w:val="28"/>
              </w:rPr>
              <w:t>с</w:t>
            </w:r>
            <w:r w:rsidRPr="00C75168">
              <w:rPr>
                <w:sz w:val="28"/>
                <w:szCs w:val="28"/>
              </w:rPr>
              <w:t>циплинарной ответственности в виде увольнения за нарушение требований к определению начальных (максимальных) цен контрактов не корреспондир</w:t>
            </w:r>
            <w:r w:rsidRPr="00C75168">
              <w:rPr>
                <w:sz w:val="28"/>
                <w:szCs w:val="28"/>
              </w:rPr>
              <w:t>у</w:t>
            </w:r>
            <w:r w:rsidRPr="00C75168">
              <w:rPr>
                <w:sz w:val="28"/>
                <w:szCs w:val="28"/>
              </w:rPr>
              <w:t>ется с нормами трудового законодательства, а также положениями законов о гражданской и муниципал</w:t>
            </w:r>
            <w:r w:rsidRPr="00C75168">
              <w:rPr>
                <w:sz w:val="28"/>
                <w:szCs w:val="28"/>
              </w:rPr>
              <w:t>ь</w:t>
            </w:r>
            <w:r w:rsidRPr="00C75168">
              <w:rPr>
                <w:sz w:val="28"/>
                <w:szCs w:val="28"/>
              </w:rPr>
              <w:t>ной службе, которыми закреплен закрытый перечень оснований для применения дисциплинарного вз</w:t>
            </w:r>
            <w:r w:rsidRPr="00C75168">
              <w:rPr>
                <w:sz w:val="28"/>
                <w:szCs w:val="28"/>
              </w:rPr>
              <w:t>ы</w:t>
            </w:r>
            <w:r w:rsidRPr="00C75168">
              <w:rPr>
                <w:sz w:val="28"/>
                <w:szCs w:val="28"/>
              </w:rPr>
              <w:t>скания в виде увольнения.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Привести в соответствие с действующим законод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тельством.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11.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ч. 2 ст. 23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Оценочная категория («обязан исходить из необх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>димости обеспечить конкуренцию среди участников процедур закупок и не совершать действия, влек</w:t>
            </w:r>
            <w:r w:rsidRPr="00C75168">
              <w:rPr>
                <w:sz w:val="28"/>
                <w:szCs w:val="28"/>
              </w:rPr>
              <w:t>у</w:t>
            </w:r>
            <w:r w:rsidRPr="00C75168">
              <w:rPr>
                <w:sz w:val="28"/>
                <w:szCs w:val="28"/>
              </w:rPr>
              <w:t>щие необоснованное сокращение числа участников процедур»). Любой способ закупок, устанавлива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мый в проекте, (за исключением закупки у единс</w:t>
            </w:r>
            <w:r w:rsidRPr="00C75168">
              <w:rPr>
                <w:sz w:val="28"/>
                <w:szCs w:val="28"/>
              </w:rPr>
              <w:t>т</w:t>
            </w:r>
            <w:r w:rsidRPr="00C75168">
              <w:rPr>
                <w:sz w:val="28"/>
                <w:szCs w:val="28"/>
              </w:rPr>
              <w:t>венного источника) предполагает неограниченное число участников, что само по себе является обесп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чением неограниченной конкуренции (за исключен</w:t>
            </w:r>
            <w:r w:rsidRPr="00C75168">
              <w:rPr>
                <w:sz w:val="28"/>
                <w:szCs w:val="28"/>
              </w:rPr>
              <w:t>и</w:t>
            </w:r>
            <w:r w:rsidRPr="00C75168">
              <w:rPr>
                <w:sz w:val="28"/>
                <w:szCs w:val="28"/>
              </w:rPr>
              <w:t>ем частных случаев: квалификации, закрытых форм). Принцип конкуренции и так изложен в статье 8.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Изложить часть 2 статьи 23 в следующей редакции: «Заказчик выбирает способ определения поставщ</w:t>
            </w:r>
            <w:r w:rsidRPr="00C75168">
              <w:rPr>
                <w:sz w:val="28"/>
                <w:szCs w:val="28"/>
              </w:rPr>
              <w:t>и</w:t>
            </w:r>
            <w:r w:rsidRPr="00C75168">
              <w:rPr>
                <w:sz w:val="28"/>
                <w:szCs w:val="28"/>
              </w:rPr>
              <w:t>ков (подрядчиков, исполнителей) в соответствии с положениями настоящего федерального закона».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12.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ст. 30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В статье не предусмотрена процедура проверки уч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стника закупки на соответствие установленным тр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бованиям. Не установлено,  какими документами должно быть подтверждено соответствие указанным требованиям, кто эти документы (сведения) выдает и каким образом Комиссия по осуществлению закупок все это проверяет и оценивает (потенциально ко</w:t>
            </w:r>
            <w:r w:rsidRPr="00C75168">
              <w:rPr>
                <w:sz w:val="28"/>
                <w:szCs w:val="28"/>
              </w:rPr>
              <w:t>р</w:t>
            </w:r>
            <w:r w:rsidRPr="00C75168">
              <w:rPr>
                <w:sz w:val="28"/>
                <w:szCs w:val="28"/>
              </w:rPr>
              <w:t>рупциогенная норма). При этом в части 8 сказано, что Комиссия не вправе возлагать на участника пр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>цедуры определения поставщиков (подрядчиков, и</w:t>
            </w:r>
            <w:r w:rsidRPr="00C75168">
              <w:rPr>
                <w:sz w:val="28"/>
                <w:szCs w:val="28"/>
              </w:rPr>
              <w:t>с</w:t>
            </w:r>
            <w:r w:rsidRPr="00C75168">
              <w:rPr>
                <w:sz w:val="28"/>
                <w:szCs w:val="28"/>
              </w:rPr>
              <w:t>полнителей) обязанность подтверждать соответствие данным требованиям.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Дополнить статью частью, определяющей  порядок проверки участника закупки на соответствие уст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новленным требованиям или перечнем документов (сведений), подтверждающих установленные треб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 xml:space="preserve">вания, источников их получения. </w:t>
            </w:r>
          </w:p>
          <w:p w:rsidR="009979F1" w:rsidRPr="00C75168" w:rsidRDefault="009979F1" w:rsidP="00C75168">
            <w:pPr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Предусмотреть возможность использования проц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дуры межведомственного взаимодействия.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13.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ст. 32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При описании в документации об осуществлении з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 xml:space="preserve">купок объекта закупок в случае поставки сложного оборудования, технических устройств дополнить требованием. </w:t>
            </w:r>
          </w:p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9979F1" w:rsidRPr="00C75168" w:rsidRDefault="009979F1" w:rsidP="005F767D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Дополнить частью, содержащей требования о пр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доставлении гарантийных обязательств, требования к качеству, необходимости обучения персонала и мо</w:t>
            </w:r>
            <w:r w:rsidRPr="00C75168">
              <w:rPr>
                <w:sz w:val="28"/>
                <w:szCs w:val="28"/>
              </w:rPr>
              <w:t>н</w:t>
            </w:r>
            <w:r w:rsidRPr="00C75168">
              <w:rPr>
                <w:sz w:val="28"/>
                <w:szCs w:val="28"/>
              </w:rPr>
              <w:t>тажа товара в случае поставки сложного оборудов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 xml:space="preserve">ния. 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14.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ч. 1 ст. 35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 xml:space="preserve">Двадцать пять процентов – рыночный порог наценки продавца, однако существует вероятность демпинга с меньшими объемами снижения цены. Предлагается дать комиссии право требовать и в иных случаях подтверждения возможности выполнить условия контракта, когда возникло у комиссии подозрение в возможном демпинге. 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Возможно осуществить путем предоставления  з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казчику права включения в закупочную документ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цию информации следующего характера: при пер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сечении участником в меньшую сторону порога снижения, установленного заказчиком в документ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ции, такие участники обязаны предоставить смету и гарантийное письмо или иные подтверждения.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15.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ч. 2 ст. 47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Установлено, что максимальный срок для заключ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ния контракта по результатам конкурса может с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>ставлять 25 дней. Данный срок не соответствует пункту 4 статьи 528 Гражданского кодекса РФ, с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>гласно которому контракт должен быть заключен не позднее 20 дней со дня проведения торгов.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C75168">
              <w:rPr>
                <w:sz w:val="28"/>
                <w:szCs w:val="28"/>
                <w:shd w:val="clear" w:color="auto" w:fill="FFFFFF"/>
              </w:rPr>
              <w:t xml:space="preserve">Привести </w:t>
            </w:r>
            <w:r w:rsidRPr="00C75168">
              <w:rPr>
                <w:sz w:val="28"/>
                <w:szCs w:val="28"/>
              </w:rPr>
              <w:t>максимальный срок для заключения ко</w:t>
            </w:r>
            <w:r w:rsidRPr="00C75168">
              <w:rPr>
                <w:sz w:val="28"/>
                <w:szCs w:val="28"/>
              </w:rPr>
              <w:t>н</w:t>
            </w:r>
            <w:r w:rsidRPr="00C75168">
              <w:rPr>
                <w:sz w:val="28"/>
                <w:szCs w:val="28"/>
              </w:rPr>
              <w:t>тракта по результатам конкурса в соответствие с Гражданским кодексом РФ.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16.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ст. 49</w:t>
            </w:r>
          </w:p>
        </w:tc>
        <w:tc>
          <w:tcPr>
            <w:tcW w:w="6662" w:type="dxa"/>
          </w:tcPr>
          <w:p w:rsidR="009979F1" w:rsidRPr="00C75168" w:rsidRDefault="009979F1" w:rsidP="00872C4E">
            <w:pPr>
              <w:autoSpaceDE w:val="0"/>
              <w:autoSpaceDN w:val="0"/>
              <w:adjustRightInd w:val="0"/>
              <w:ind w:firstLine="34"/>
              <w:jc w:val="both"/>
              <w:outlineLvl w:val="2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Наименование статьи и ее содержани</w:t>
            </w:r>
            <w:r w:rsidRPr="00872C4E">
              <w:rPr>
                <w:sz w:val="28"/>
                <w:szCs w:val="28"/>
              </w:rPr>
              <w:t>е</w:t>
            </w:r>
            <w:r w:rsidRPr="00B20264">
              <w:rPr>
                <w:color w:val="FF0000"/>
                <w:sz w:val="28"/>
                <w:szCs w:val="28"/>
              </w:rPr>
              <w:t xml:space="preserve"> </w:t>
            </w:r>
            <w:r w:rsidRPr="00C75168">
              <w:rPr>
                <w:sz w:val="28"/>
                <w:szCs w:val="28"/>
              </w:rPr>
              <w:t>по испол</w:t>
            </w:r>
            <w:r w:rsidRPr="00C75168">
              <w:rPr>
                <w:sz w:val="28"/>
                <w:szCs w:val="28"/>
              </w:rPr>
              <w:t>ь</w:t>
            </w:r>
            <w:r w:rsidRPr="00C75168">
              <w:rPr>
                <w:sz w:val="28"/>
                <w:szCs w:val="28"/>
              </w:rPr>
              <w:t>зуемым терминам не соответствуют друг другу: в з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головке говорится о поставщиках (подрядчиках, и</w:t>
            </w:r>
            <w:r w:rsidRPr="00C75168">
              <w:rPr>
                <w:sz w:val="28"/>
                <w:szCs w:val="28"/>
              </w:rPr>
              <w:t>с</w:t>
            </w:r>
            <w:r w:rsidRPr="00C75168">
              <w:rPr>
                <w:sz w:val="28"/>
                <w:szCs w:val="28"/>
              </w:rPr>
              <w:t>полнителях), а в статье речь идет об участниках ко</w:t>
            </w:r>
            <w:r w:rsidRPr="00C75168">
              <w:rPr>
                <w:sz w:val="28"/>
                <w:szCs w:val="28"/>
              </w:rPr>
              <w:t>н</w:t>
            </w:r>
            <w:r w:rsidRPr="00C75168">
              <w:rPr>
                <w:sz w:val="28"/>
                <w:szCs w:val="28"/>
              </w:rPr>
              <w:t>курса.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C75168">
              <w:rPr>
                <w:sz w:val="28"/>
                <w:szCs w:val="28"/>
                <w:shd w:val="clear" w:color="auto" w:fill="FFFFFF"/>
              </w:rPr>
              <w:t>Унифицировать терминологию.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17.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ст. 52</w:t>
            </w:r>
          </w:p>
        </w:tc>
        <w:tc>
          <w:tcPr>
            <w:tcW w:w="6662" w:type="dxa"/>
          </w:tcPr>
          <w:p w:rsidR="009979F1" w:rsidRPr="00455E75" w:rsidRDefault="009979F1" w:rsidP="00C75168">
            <w:pPr>
              <w:jc w:val="both"/>
              <w:rPr>
                <w:spacing w:val="-2"/>
                <w:sz w:val="28"/>
                <w:szCs w:val="28"/>
              </w:rPr>
            </w:pPr>
            <w:r w:rsidRPr="00455E75">
              <w:rPr>
                <w:spacing w:val="-2"/>
                <w:sz w:val="28"/>
                <w:szCs w:val="28"/>
              </w:rPr>
              <w:t>В части 1 статьи  закреплено определение «электро</w:t>
            </w:r>
            <w:r w:rsidRPr="00455E75">
              <w:rPr>
                <w:spacing w:val="-2"/>
                <w:sz w:val="28"/>
                <w:szCs w:val="28"/>
              </w:rPr>
              <w:t>н</w:t>
            </w:r>
            <w:r w:rsidRPr="00455E75">
              <w:rPr>
                <w:spacing w:val="-2"/>
                <w:sz w:val="28"/>
                <w:szCs w:val="28"/>
              </w:rPr>
              <w:t>ного аукциона» и выводится  оно через понятие о</w:t>
            </w:r>
            <w:r w:rsidRPr="00455E75">
              <w:rPr>
                <w:spacing w:val="-2"/>
                <w:sz w:val="28"/>
                <w:szCs w:val="28"/>
              </w:rPr>
              <w:t>т</w:t>
            </w:r>
            <w:r w:rsidRPr="00455E75">
              <w:rPr>
                <w:spacing w:val="-2"/>
                <w:sz w:val="28"/>
                <w:szCs w:val="28"/>
              </w:rPr>
              <w:t>крытого аукциона. Однако в положениях статьи 23, предусматривающей способы определения поставщ</w:t>
            </w:r>
            <w:r w:rsidRPr="00455E75">
              <w:rPr>
                <w:spacing w:val="-2"/>
                <w:sz w:val="28"/>
                <w:szCs w:val="28"/>
              </w:rPr>
              <w:t>и</w:t>
            </w:r>
            <w:r w:rsidRPr="00455E75">
              <w:rPr>
                <w:spacing w:val="-2"/>
                <w:sz w:val="28"/>
                <w:szCs w:val="28"/>
              </w:rPr>
              <w:t>ков, такой способ как «открытый аукцион» отсутств</w:t>
            </w:r>
            <w:r w:rsidRPr="00455E75">
              <w:rPr>
                <w:spacing w:val="-2"/>
                <w:sz w:val="28"/>
                <w:szCs w:val="28"/>
              </w:rPr>
              <w:t>у</w:t>
            </w:r>
            <w:r w:rsidRPr="00455E75">
              <w:rPr>
                <w:spacing w:val="-2"/>
                <w:sz w:val="28"/>
                <w:szCs w:val="28"/>
              </w:rPr>
              <w:t>ет и понятие его не содержится и в других нормах.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C75168">
              <w:rPr>
                <w:sz w:val="28"/>
                <w:szCs w:val="28"/>
                <w:shd w:val="clear" w:color="auto" w:fill="FFFFFF"/>
              </w:rPr>
              <w:t xml:space="preserve">Привести определение понятия </w:t>
            </w:r>
            <w:r w:rsidRPr="00C75168">
              <w:rPr>
                <w:sz w:val="28"/>
                <w:szCs w:val="28"/>
              </w:rPr>
              <w:t>«электронный ау</w:t>
            </w:r>
            <w:r w:rsidRPr="00C75168">
              <w:rPr>
                <w:sz w:val="28"/>
                <w:szCs w:val="28"/>
              </w:rPr>
              <w:t>к</w:t>
            </w:r>
            <w:r w:rsidRPr="00C75168">
              <w:rPr>
                <w:sz w:val="28"/>
                <w:szCs w:val="28"/>
              </w:rPr>
              <w:t>цион» в соответствие с употребляемой в законопр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>екте терминологией.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18.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ч. 2 ст. 64</w:t>
            </w:r>
          </w:p>
        </w:tc>
        <w:tc>
          <w:tcPr>
            <w:tcW w:w="6662" w:type="dxa"/>
          </w:tcPr>
          <w:p w:rsidR="009979F1" w:rsidRPr="00872C4E" w:rsidRDefault="009979F1" w:rsidP="00872C4E">
            <w:pPr>
              <w:ind w:firstLine="34"/>
              <w:jc w:val="both"/>
              <w:rPr>
                <w:spacing w:val="-2"/>
                <w:sz w:val="28"/>
                <w:szCs w:val="28"/>
                <w:shd w:val="clear" w:color="auto" w:fill="FFFFFF"/>
              </w:rPr>
            </w:pPr>
            <w:r w:rsidRPr="00455E75">
              <w:rPr>
                <w:spacing w:val="-2"/>
                <w:sz w:val="28"/>
                <w:szCs w:val="28"/>
              </w:rPr>
              <w:t>1. Условием проведения закупки с помощью запроса котировок является цена контракта, которая не дол</w:t>
            </w:r>
            <w:r w:rsidRPr="00455E75">
              <w:rPr>
                <w:spacing w:val="-2"/>
                <w:sz w:val="28"/>
                <w:szCs w:val="28"/>
              </w:rPr>
              <w:t>ж</w:t>
            </w:r>
            <w:r w:rsidRPr="00455E75">
              <w:rPr>
                <w:spacing w:val="-2"/>
                <w:sz w:val="28"/>
                <w:szCs w:val="28"/>
              </w:rPr>
              <w:t>на превышать пятьсот тысяч рублей.</w:t>
            </w:r>
            <w:r w:rsidRPr="00455E75">
              <w:rPr>
                <w:spacing w:val="-2"/>
                <w:sz w:val="28"/>
                <w:szCs w:val="28"/>
                <w:shd w:val="clear" w:color="auto" w:fill="FFFFFF"/>
              </w:rPr>
              <w:t xml:space="preserve"> Данный порог был установлен в 2007 г. и в настоящий момент сумма является </w:t>
            </w:r>
            <w:r w:rsidRPr="00872C4E">
              <w:rPr>
                <w:spacing w:val="-2"/>
                <w:sz w:val="28"/>
                <w:szCs w:val="28"/>
                <w:shd w:val="clear" w:color="auto" w:fill="FFFFFF"/>
              </w:rPr>
              <w:t xml:space="preserve">неактуальной. </w:t>
            </w:r>
          </w:p>
          <w:p w:rsidR="009979F1" w:rsidRPr="00455E75" w:rsidRDefault="009979F1" w:rsidP="00872C4E">
            <w:pPr>
              <w:ind w:firstLine="34"/>
              <w:jc w:val="both"/>
              <w:rPr>
                <w:spacing w:val="-2"/>
                <w:sz w:val="28"/>
                <w:szCs w:val="28"/>
              </w:rPr>
            </w:pPr>
            <w:r w:rsidRPr="00455E75">
              <w:rPr>
                <w:iCs/>
                <w:spacing w:val="-2"/>
                <w:sz w:val="28"/>
                <w:szCs w:val="28"/>
              </w:rPr>
              <w:t>2.Совокупный объем закупок заказчика, проводимых способом запроса котировок, ограничен десятью пр</w:t>
            </w:r>
            <w:r w:rsidRPr="00455E75">
              <w:rPr>
                <w:iCs/>
                <w:spacing w:val="-2"/>
                <w:sz w:val="28"/>
                <w:szCs w:val="28"/>
              </w:rPr>
              <w:t>о</w:t>
            </w:r>
            <w:r w:rsidRPr="00455E75">
              <w:rPr>
                <w:iCs/>
                <w:spacing w:val="-2"/>
                <w:sz w:val="28"/>
                <w:szCs w:val="28"/>
              </w:rPr>
              <w:t>центами объема средств, предусмотренных на все з</w:t>
            </w:r>
            <w:r w:rsidRPr="00455E75">
              <w:rPr>
                <w:iCs/>
                <w:spacing w:val="-2"/>
                <w:sz w:val="28"/>
                <w:szCs w:val="28"/>
              </w:rPr>
              <w:t>а</w:t>
            </w:r>
            <w:r w:rsidRPr="00455E75">
              <w:rPr>
                <w:iCs/>
                <w:spacing w:val="-2"/>
                <w:sz w:val="28"/>
                <w:szCs w:val="28"/>
              </w:rPr>
              <w:t>купки заказчика по плану-графику. Указанное огр</w:t>
            </w:r>
            <w:r w:rsidRPr="00455E75">
              <w:rPr>
                <w:iCs/>
                <w:spacing w:val="-2"/>
                <w:sz w:val="28"/>
                <w:szCs w:val="28"/>
              </w:rPr>
              <w:t>а</w:t>
            </w:r>
            <w:r w:rsidRPr="00455E75">
              <w:rPr>
                <w:iCs/>
                <w:spacing w:val="-2"/>
                <w:sz w:val="28"/>
                <w:szCs w:val="28"/>
              </w:rPr>
              <w:t xml:space="preserve">ничение  нецелесообразно, т.к. приведет к тому, что товары на незначительные суммы придется закупать более сложными в реализации способами. Для этих целей </w:t>
            </w:r>
            <w:r w:rsidRPr="00455E75">
              <w:rPr>
                <w:spacing w:val="-2"/>
                <w:sz w:val="28"/>
                <w:szCs w:val="28"/>
                <w:shd w:val="clear" w:color="auto" w:fill="FFFFFF"/>
              </w:rPr>
              <w:t>наиболее процедурно простым и удобным в применении способом размещения заказа является з</w:t>
            </w:r>
            <w:r w:rsidRPr="00455E75">
              <w:rPr>
                <w:spacing w:val="-2"/>
                <w:sz w:val="28"/>
                <w:szCs w:val="28"/>
                <w:shd w:val="clear" w:color="auto" w:fill="FFFFFF"/>
              </w:rPr>
              <w:t>а</w:t>
            </w:r>
            <w:r w:rsidRPr="00455E75">
              <w:rPr>
                <w:spacing w:val="-2"/>
                <w:sz w:val="28"/>
                <w:szCs w:val="28"/>
                <w:shd w:val="clear" w:color="auto" w:fill="FFFFFF"/>
              </w:rPr>
              <w:t>прос котировок.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C75168">
              <w:rPr>
                <w:sz w:val="28"/>
                <w:szCs w:val="28"/>
                <w:shd w:val="clear" w:color="auto" w:fill="FFFFFF"/>
              </w:rPr>
              <w:t>1. Увеличить предельный размер суммы заказа.</w:t>
            </w:r>
          </w:p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9979F1" w:rsidRPr="00C75168" w:rsidRDefault="009979F1" w:rsidP="00C75168">
            <w:pPr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  <w:shd w:val="clear" w:color="auto" w:fill="FFFFFF"/>
              </w:rPr>
              <w:t>2. Предложение: «При этом совокупный объем зак</w:t>
            </w:r>
            <w:r w:rsidRPr="00C75168">
              <w:rPr>
                <w:sz w:val="28"/>
                <w:szCs w:val="28"/>
                <w:shd w:val="clear" w:color="auto" w:fill="FFFFFF"/>
              </w:rPr>
              <w:t>у</w:t>
            </w:r>
            <w:r w:rsidRPr="00C75168">
              <w:rPr>
                <w:sz w:val="28"/>
                <w:szCs w:val="28"/>
                <w:shd w:val="clear" w:color="auto" w:fill="FFFFFF"/>
              </w:rPr>
              <w:t>пок с помощью запроса котировок не должен пр</w:t>
            </w:r>
            <w:r w:rsidRPr="00C75168">
              <w:rPr>
                <w:sz w:val="28"/>
                <w:szCs w:val="28"/>
                <w:shd w:val="clear" w:color="auto" w:fill="FFFFFF"/>
              </w:rPr>
              <w:t>е</w:t>
            </w:r>
            <w:r w:rsidRPr="00C75168">
              <w:rPr>
                <w:sz w:val="28"/>
                <w:szCs w:val="28"/>
                <w:shd w:val="clear" w:color="auto" w:fill="FFFFFF"/>
              </w:rPr>
              <w:t>вышать 10 процентов объема средств, предусмотре</w:t>
            </w:r>
            <w:r w:rsidRPr="00C75168">
              <w:rPr>
                <w:sz w:val="28"/>
                <w:szCs w:val="28"/>
                <w:shd w:val="clear" w:color="auto" w:fill="FFFFFF"/>
              </w:rPr>
              <w:t>н</w:t>
            </w:r>
            <w:r w:rsidRPr="00C75168">
              <w:rPr>
                <w:sz w:val="28"/>
                <w:szCs w:val="28"/>
                <w:shd w:val="clear" w:color="auto" w:fill="FFFFFF"/>
              </w:rPr>
              <w:t>ных на все закупки заказчика в соответствии с пл</w:t>
            </w:r>
            <w:r w:rsidRPr="00C75168">
              <w:rPr>
                <w:sz w:val="28"/>
                <w:szCs w:val="28"/>
                <w:shd w:val="clear" w:color="auto" w:fill="FFFFFF"/>
              </w:rPr>
              <w:t>а</w:t>
            </w:r>
            <w:r w:rsidRPr="00C75168">
              <w:rPr>
                <w:sz w:val="28"/>
                <w:szCs w:val="28"/>
                <w:shd w:val="clear" w:color="auto" w:fill="FFFFFF"/>
              </w:rPr>
              <w:t xml:space="preserve">ном </w:t>
            </w:r>
            <w:r w:rsidRPr="00C75168">
              <w:rPr>
                <w:iCs/>
                <w:sz w:val="28"/>
                <w:szCs w:val="28"/>
              </w:rPr>
              <w:t xml:space="preserve">– </w:t>
            </w:r>
            <w:r w:rsidRPr="00C75168">
              <w:rPr>
                <w:sz w:val="28"/>
                <w:szCs w:val="28"/>
                <w:shd w:val="clear" w:color="auto" w:fill="FFFFFF"/>
              </w:rPr>
              <w:t>графиком» исключить, либо увеличить пред</w:t>
            </w:r>
            <w:r w:rsidRPr="00C75168">
              <w:rPr>
                <w:sz w:val="28"/>
                <w:szCs w:val="28"/>
                <w:shd w:val="clear" w:color="auto" w:fill="FFFFFF"/>
              </w:rPr>
              <w:t>у</w:t>
            </w:r>
            <w:r w:rsidRPr="00C75168">
              <w:rPr>
                <w:sz w:val="28"/>
                <w:szCs w:val="28"/>
                <w:shd w:val="clear" w:color="auto" w:fill="FFFFFF"/>
              </w:rPr>
              <w:t>смотренный законопроектом объем.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19.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ч. 2 ст. 87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Выделение  – тоже допустимая форма реорганиз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ции, при которой правопреемник имеет возможность выполнить обязательства по контракту. При этом е</w:t>
            </w:r>
            <w:r w:rsidRPr="00C75168">
              <w:rPr>
                <w:sz w:val="28"/>
                <w:szCs w:val="28"/>
              </w:rPr>
              <w:t>с</w:t>
            </w:r>
            <w:r w:rsidRPr="00C75168">
              <w:rPr>
                <w:sz w:val="28"/>
                <w:szCs w:val="28"/>
              </w:rPr>
              <w:t>ли будет снижение квалификации, контракт все ра</w:t>
            </w:r>
            <w:r w:rsidRPr="00C75168">
              <w:rPr>
                <w:sz w:val="28"/>
                <w:szCs w:val="28"/>
              </w:rPr>
              <w:t>в</w:t>
            </w:r>
            <w:r w:rsidRPr="00C75168">
              <w:rPr>
                <w:sz w:val="28"/>
                <w:szCs w:val="28"/>
              </w:rPr>
              <w:t>но можно расторгнуть в одностороннем порядке по другим причинам, закрепленным в проекте.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В части 2 статьи 87 слова «слияния или присоедин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ния» заменить словами «слияния, присоединения или выделения».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20.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ч. 7 ст. 87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В отношении права контролирующего органа по ж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лобе поставщика (исполнителя, подрядчика) прио</w:t>
            </w:r>
            <w:r w:rsidRPr="00C75168">
              <w:rPr>
                <w:sz w:val="28"/>
                <w:szCs w:val="28"/>
              </w:rPr>
              <w:t>с</w:t>
            </w:r>
            <w:r w:rsidRPr="00C75168">
              <w:rPr>
                <w:sz w:val="28"/>
                <w:szCs w:val="28"/>
              </w:rPr>
              <w:t>танавливать или отменять решение заказчика об о</w:t>
            </w:r>
            <w:r w:rsidRPr="00C75168">
              <w:rPr>
                <w:sz w:val="28"/>
                <w:szCs w:val="28"/>
              </w:rPr>
              <w:t>д</w:t>
            </w:r>
            <w:r w:rsidRPr="00C75168">
              <w:rPr>
                <w:sz w:val="28"/>
                <w:szCs w:val="28"/>
              </w:rPr>
              <w:t>ностороннем отказе от исполнения обязательств по контракту, следует отметить, что в силу статьи 2 проекта закона федеральная контрактная система о</w:t>
            </w:r>
            <w:r w:rsidRPr="00C75168">
              <w:rPr>
                <w:sz w:val="28"/>
                <w:szCs w:val="28"/>
              </w:rPr>
              <w:t>с</w:t>
            </w:r>
            <w:r w:rsidRPr="00C75168">
              <w:rPr>
                <w:sz w:val="28"/>
                <w:szCs w:val="28"/>
              </w:rPr>
              <w:t>новывается, прежде всего, на положениях Гражда</w:t>
            </w:r>
            <w:r w:rsidRPr="00C75168">
              <w:rPr>
                <w:sz w:val="28"/>
                <w:szCs w:val="28"/>
              </w:rPr>
              <w:t>н</w:t>
            </w:r>
            <w:r w:rsidRPr="00C75168">
              <w:rPr>
                <w:sz w:val="28"/>
                <w:szCs w:val="28"/>
              </w:rPr>
              <w:t xml:space="preserve">ского кодекса </w:t>
            </w:r>
            <w:r w:rsidRPr="000D154F">
              <w:rPr>
                <w:sz w:val="28"/>
                <w:szCs w:val="28"/>
              </w:rPr>
              <w:t xml:space="preserve">РФ </w:t>
            </w:r>
            <w:r w:rsidRPr="00C75168">
              <w:rPr>
                <w:sz w:val="28"/>
                <w:szCs w:val="28"/>
              </w:rPr>
              <w:t>и, следовательно, должна соотве</w:t>
            </w:r>
            <w:r w:rsidRPr="00C75168">
              <w:rPr>
                <w:sz w:val="28"/>
                <w:szCs w:val="28"/>
              </w:rPr>
              <w:t>т</w:t>
            </w:r>
            <w:r w:rsidRPr="00C75168">
              <w:rPr>
                <w:sz w:val="28"/>
                <w:szCs w:val="28"/>
              </w:rPr>
              <w:t>ствовать нормам и принципам гражданского закон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>дательства.</w:t>
            </w:r>
          </w:p>
          <w:p w:rsidR="009979F1" w:rsidRPr="00C75168" w:rsidRDefault="009979F1" w:rsidP="00C75168">
            <w:pPr>
              <w:ind w:right="-2" w:firstLine="34"/>
              <w:jc w:val="both"/>
              <w:outlineLvl w:val="3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В силу ст. 3 законопроекта под государственным или муниципальным контрактом понимается договор, з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ключенный заказчиком от имени РФ, субъекта РФ или муниципального образования в целях обеспеч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ния государственных или муниципальных нужд.</w:t>
            </w:r>
          </w:p>
          <w:p w:rsidR="009979F1" w:rsidRPr="00C75168" w:rsidRDefault="009979F1" w:rsidP="00C75168">
            <w:pPr>
              <w:ind w:firstLine="34"/>
              <w:jc w:val="both"/>
              <w:outlineLvl w:val="3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Вместе с тем, в соответствии с Гражданским коде</w:t>
            </w:r>
            <w:r w:rsidRPr="00C75168">
              <w:rPr>
                <w:sz w:val="28"/>
                <w:szCs w:val="28"/>
              </w:rPr>
              <w:t>к</w:t>
            </w:r>
            <w:r w:rsidRPr="00C75168">
              <w:rPr>
                <w:sz w:val="28"/>
                <w:szCs w:val="28"/>
              </w:rPr>
              <w:t>сом РФ договором признается соглашение двух или нескольких лиц, которые свободны в установлении своих прав и обязанностей на основе договора и в определении любых не противоречащих законод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тельству условий договора. Закрепляя принцип св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>боды договора, гражданское законодательство пр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дусматривает возможность одностороннего отказа от исполнения договора полностью или частично, когда такой отказ допускается законом или соглашением сторон.</w:t>
            </w:r>
          </w:p>
          <w:p w:rsidR="009979F1" w:rsidRPr="00C75168" w:rsidRDefault="009979F1" w:rsidP="00C75168">
            <w:pPr>
              <w:ind w:firstLine="34"/>
              <w:jc w:val="both"/>
              <w:outlineLvl w:val="3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Нормы действующего законодательства не пред</w:t>
            </w:r>
            <w:r w:rsidRPr="00C75168">
              <w:rPr>
                <w:sz w:val="28"/>
                <w:szCs w:val="28"/>
              </w:rPr>
              <w:t>у</w:t>
            </w:r>
            <w:r w:rsidRPr="00C75168">
              <w:rPr>
                <w:sz w:val="28"/>
                <w:szCs w:val="28"/>
              </w:rPr>
              <w:t>сматривают возможности административного обж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лования действий стороны, в одностороннем порядке отказавшейся от исполнения обязательств по догов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>ру. Поэтому сам отказ и его последствия могут быть обжалованы только в судебном порядке.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Привести в соответствие с положениями Гражда</w:t>
            </w:r>
            <w:r w:rsidRPr="00C75168">
              <w:rPr>
                <w:sz w:val="28"/>
                <w:szCs w:val="28"/>
              </w:rPr>
              <w:t>н</w:t>
            </w:r>
            <w:r w:rsidRPr="00C75168">
              <w:rPr>
                <w:sz w:val="28"/>
                <w:szCs w:val="28"/>
              </w:rPr>
              <w:t>ского кодекса РФ об одностороннем отказе от испо</w:t>
            </w:r>
            <w:r w:rsidRPr="00C75168">
              <w:rPr>
                <w:sz w:val="28"/>
                <w:szCs w:val="28"/>
              </w:rPr>
              <w:t>л</w:t>
            </w:r>
            <w:r w:rsidRPr="00C75168">
              <w:rPr>
                <w:sz w:val="28"/>
                <w:szCs w:val="28"/>
              </w:rPr>
              <w:t>нения договора.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21.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ст. 88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Требование обеспечения исполнения контракта ц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лесообразно в отношении товаров (работ, услуг), п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>ставка (выполнение, оказание)  которых связаны с рисками заказчика при оплате и авансировании. При предоставлении кредитных ресурсов риск по испо</w:t>
            </w:r>
            <w:r w:rsidRPr="00C75168">
              <w:rPr>
                <w:sz w:val="28"/>
                <w:szCs w:val="28"/>
              </w:rPr>
              <w:t>л</w:t>
            </w:r>
            <w:r w:rsidRPr="00C75168">
              <w:rPr>
                <w:sz w:val="28"/>
                <w:szCs w:val="28"/>
              </w:rPr>
              <w:t>нению контракта (выплата процентов за пользование кредитными средствами и возврат предоставленного кредита) возникает у кредитной организации, п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>скольку оплачивать услуги  заемщик  начинает тол</w:t>
            </w:r>
            <w:r w:rsidRPr="00C75168">
              <w:rPr>
                <w:sz w:val="28"/>
                <w:szCs w:val="28"/>
              </w:rPr>
              <w:t>ь</w:t>
            </w:r>
            <w:r w:rsidRPr="00C75168">
              <w:rPr>
                <w:sz w:val="28"/>
                <w:szCs w:val="28"/>
              </w:rPr>
              <w:t>ко после получения заемных средств.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Внести изменения в части отмены обеспечения и</w:t>
            </w:r>
            <w:r w:rsidRPr="00C75168">
              <w:rPr>
                <w:sz w:val="28"/>
                <w:szCs w:val="28"/>
              </w:rPr>
              <w:t>с</w:t>
            </w:r>
            <w:r w:rsidRPr="00C75168">
              <w:rPr>
                <w:sz w:val="28"/>
                <w:szCs w:val="28"/>
              </w:rPr>
              <w:t>полнения контракта при заключении контрактов на оказание услуг кредитными организациями по пр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доставлению кредитных средств.</w:t>
            </w:r>
          </w:p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22.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ч. 10 ст. 89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Установление для должностных лиц заказчиков ди</w:t>
            </w:r>
            <w:r w:rsidRPr="00C75168">
              <w:rPr>
                <w:sz w:val="28"/>
                <w:szCs w:val="28"/>
              </w:rPr>
              <w:t>с</w:t>
            </w:r>
            <w:r w:rsidRPr="00C75168">
              <w:rPr>
                <w:sz w:val="28"/>
                <w:szCs w:val="28"/>
              </w:rPr>
              <w:t>циплинарной ответственности в виде увольнения за ненадлежащие реализацию планов закупок и планов-графиков и осуществление закупок, а также за недо</w:t>
            </w:r>
            <w:r w:rsidRPr="00C75168">
              <w:rPr>
                <w:sz w:val="28"/>
                <w:szCs w:val="28"/>
              </w:rPr>
              <w:t>с</w:t>
            </w:r>
            <w:r w:rsidRPr="00C75168">
              <w:rPr>
                <w:sz w:val="28"/>
                <w:szCs w:val="28"/>
              </w:rPr>
              <w:t>тижение предусмотренных ими результатов не ко</w:t>
            </w:r>
            <w:r w:rsidRPr="00C75168">
              <w:rPr>
                <w:sz w:val="28"/>
                <w:szCs w:val="28"/>
              </w:rPr>
              <w:t>р</w:t>
            </w:r>
            <w:r w:rsidRPr="00C75168">
              <w:rPr>
                <w:sz w:val="28"/>
                <w:szCs w:val="28"/>
              </w:rPr>
              <w:t>респондируется с нормами трудового законодател</w:t>
            </w:r>
            <w:r w:rsidRPr="00C75168">
              <w:rPr>
                <w:sz w:val="28"/>
                <w:szCs w:val="28"/>
              </w:rPr>
              <w:t>ь</w:t>
            </w:r>
            <w:r w:rsidRPr="00C75168">
              <w:rPr>
                <w:sz w:val="28"/>
                <w:szCs w:val="28"/>
              </w:rPr>
              <w:t>ства, а также положениями законов о гражданской и муниципальной службе, которыми закреплен закр</w:t>
            </w:r>
            <w:r w:rsidRPr="00C75168">
              <w:rPr>
                <w:sz w:val="28"/>
                <w:szCs w:val="28"/>
              </w:rPr>
              <w:t>ы</w:t>
            </w:r>
            <w:r w:rsidRPr="00C75168">
              <w:rPr>
                <w:sz w:val="28"/>
                <w:szCs w:val="28"/>
              </w:rPr>
              <w:t>тый перечень оснований для применения дисципл</w:t>
            </w:r>
            <w:r w:rsidRPr="00C75168">
              <w:rPr>
                <w:sz w:val="28"/>
                <w:szCs w:val="28"/>
              </w:rPr>
              <w:t>и</w:t>
            </w:r>
            <w:r w:rsidRPr="00C75168">
              <w:rPr>
                <w:sz w:val="28"/>
                <w:szCs w:val="28"/>
              </w:rPr>
              <w:t>нарного взыскания в виде увольнения.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Привести в соответствие с действующим законод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тельством.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23.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п. 9 ч. 2 ст. 94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Данной нормой установлена обязанность включать в реестр контрактов заверенную электронной подп</w:t>
            </w:r>
            <w:r w:rsidRPr="00C75168">
              <w:rPr>
                <w:sz w:val="28"/>
                <w:szCs w:val="28"/>
              </w:rPr>
              <w:t>и</w:t>
            </w:r>
            <w:r w:rsidRPr="00C75168">
              <w:rPr>
                <w:sz w:val="28"/>
                <w:szCs w:val="28"/>
              </w:rPr>
              <w:t>сью заказчика копию заключенного контракта. В то же время контракт заключается на условиях, указа</w:t>
            </w:r>
            <w:r w:rsidRPr="00C75168">
              <w:rPr>
                <w:sz w:val="28"/>
                <w:szCs w:val="28"/>
              </w:rPr>
              <w:t>н</w:t>
            </w:r>
            <w:r w:rsidRPr="00C75168">
              <w:rPr>
                <w:sz w:val="28"/>
                <w:szCs w:val="28"/>
              </w:rPr>
              <w:t>ных в документации об осуществлении закупок, в полном соответствии с проектом контракта, который в силу норм проекта является неотъемлемой частью документации, которая в свою очередь размещается в единой информационной системе. То есть доступ к положениям контракта обеспечен еще на стадии опубликования документации, а сведения о цене и характеристиках товара, работы или услуги по ко</w:t>
            </w:r>
            <w:r w:rsidRPr="00C75168">
              <w:rPr>
                <w:sz w:val="28"/>
                <w:szCs w:val="28"/>
              </w:rPr>
              <w:t>н</w:t>
            </w:r>
            <w:r w:rsidRPr="00C75168">
              <w:rPr>
                <w:sz w:val="28"/>
                <w:szCs w:val="28"/>
              </w:rPr>
              <w:t>тракту содержатся в ценовом предложении побед</w:t>
            </w:r>
            <w:r w:rsidRPr="00C75168">
              <w:rPr>
                <w:sz w:val="28"/>
                <w:szCs w:val="28"/>
              </w:rPr>
              <w:t>и</w:t>
            </w:r>
            <w:r w:rsidRPr="00C75168">
              <w:rPr>
                <w:sz w:val="28"/>
                <w:szCs w:val="28"/>
              </w:rPr>
              <w:t>теля и его заявке на участие в процедуре определ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ния поставщиков.</w:t>
            </w:r>
          </w:p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Размещение заключенного контракта путем прикр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пления его к реестру контрактов в единой информ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ционной системе налагает на заказчиков дополн</w:t>
            </w:r>
            <w:r w:rsidRPr="00C75168">
              <w:rPr>
                <w:sz w:val="28"/>
                <w:szCs w:val="28"/>
              </w:rPr>
              <w:t>и</w:t>
            </w:r>
            <w:r w:rsidRPr="00C75168">
              <w:rPr>
                <w:sz w:val="28"/>
                <w:szCs w:val="28"/>
              </w:rPr>
              <w:t>тельные материальные расходы и временные затр</w:t>
            </w:r>
            <w:r w:rsidRPr="00C75168">
              <w:rPr>
                <w:sz w:val="28"/>
                <w:szCs w:val="28"/>
              </w:rPr>
              <w:t>а</w:t>
            </w:r>
            <w:r w:rsidRPr="00C75168">
              <w:rPr>
                <w:sz w:val="28"/>
                <w:szCs w:val="28"/>
              </w:rPr>
              <w:t>ты. Более того, сам реестр согласно статье 94 уже с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>держит подробную информацию о заключенных контрактах и включает в себя сведения, обязател</w:t>
            </w:r>
            <w:r w:rsidRPr="00C75168">
              <w:rPr>
                <w:sz w:val="28"/>
                <w:szCs w:val="28"/>
              </w:rPr>
              <w:t>ь</w:t>
            </w:r>
            <w:r w:rsidRPr="00C75168">
              <w:rPr>
                <w:sz w:val="28"/>
                <w:szCs w:val="28"/>
              </w:rPr>
              <w:t>ность размещения которых предусмотрена нормами законопроекта.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Пункт 9 части 2 статьи 94 исключить.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24.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ч. 3 ст. 98</w:t>
            </w:r>
          </w:p>
        </w:tc>
        <w:tc>
          <w:tcPr>
            <w:tcW w:w="6662" w:type="dxa"/>
          </w:tcPr>
          <w:p w:rsidR="009979F1" w:rsidRDefault="009979F1" w:rsidP="00C75168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Установлена ответственность за нарушение закон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>дательства о федеральной контрактной системе для надзорных и контрольных органов.</w:t>
            </w:r>
          </w:p>
          <w:p w:rsidR="009979F1" w:rsidRPr="00C75168" w:rsidRDefault="009979F1" w:rsidP="00C75168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Распространить ответственность и на должностных лиц надзорных и контрольных органов.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25.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ст. 101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Отсутствует.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Дополнить статьей 101 или изменить нумерацию п</w:t>
            </w:r>
            <w:r w:rsidRPr="00C75168">
              <w:rPr>
                <w:sz w:val="28"/>
                <w:szCs w:val="28"/>
              </w:rPr>
              <w:t>о</w:t>
            </w:r>
            <w:r w:rsidRPr="00C75168">
              <w:rPr>
                <w:sz w:val="28"/>
                <w:szCs w:val="28"/>
              </w:rPr>
              <w:t>следующих статей.</w:t>
            </w:r>
          </w:p>
        </w:tc>
      </w:tr>
      <w:tr w:rsidR="009979F1" w:rsidRPr="008A0A1E" w:rsidTr="000901A6">
        <w:tc>
          <w:tcPr>
            <w:tcW w:w="567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26.</w:t>
            </w:r>
          </w:p>
        </w:tc>
        <w:tc>
          <w:tcPr>
            <w:tcW w:w="993" w:type="dxa"/>
          </w:tcPr>
          <w:p w:rsidR="009979F1" w:rsidRPr="00C75168" w:rsidRDefault="009979F1" w:rsidP="00C75168">
            <w:pPr>
              <w:jc w:val="center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В целом законопроект не учитывает отраслевую специфику закупочной деятельности.</w:t>
            </w:r>
          </w:p>
        </w:tc>
        <w:tc>
          <w:tcPr>
            <w:tcW w:w="6662" w:type="dxa"/>
          </w:tcPr>
          <w:p w:rsidR="009979F1" w:rsidRPr="00C75168" w:rsidRDefault="009979F1" w:rsidP="00C75168">
            <w:pPr>
              <w:ind w:firstLine="34"/>
              <w:jc w:val="both"/>
              <w:rPr>
                <w:sz w:val="28"/>
                <w:szCs w:val="28"/>
              </w:rPr>
            </w:pPr>
            <w:r w:rsidRPr="00C75168">
              <w:rPr>
                <w:sz w:val="28"/>
                <w:szCs w:val="28"/>
              </w:rPr>
              <w:t>Предлагается установить возможность высшим о</w:t>
            </w:r>
            <w:r w:rsidRPr="00C75168">
              <w:rPr>
                <w:sz w:val="28"/>
                <w:szCs w:val="28"/>
              </w:rPr>
              <w:t>р</w:t>
            </w:r>
            <w:r w:rsidRPr="00C75168">
              <w:rPr>
                <w:sz w:val="28"/>
                <w:szCs w:val="28"/>
              </w:rPr>
              <w:t>ганам власти соответствующего уровня в соответс</w:t>
            </w:r>
            <w:r w:rsidRPr="00C75168">
              <w:rPr>
                <w:sz w:val="28"/>
                <w:szCs w:val="28"/>
              </w:rPr>
              <w:t>т</w:t>
            </w:r>
            <w:r w:rsidRPr="00C75168">
              <w:rPr>
                <w:sz w:val="28"/>
                <w:szCs w:val="28"/>
              </w:rPr>
              <w:t>вии с отраслевыми реестрами работ (услуг), утве</w:t>
            </w:r>
            <w:r w:rsidRPr="00C75168">
              <w:rPr>
                <w:sz w:val="28"/>
                <w:szCs w:val="28"/>
              </w:rPr>
              <w:t>р</w:t>
            </w:r>
            <w:r w:rsidRPr="00C75168">
              <w:rPr>
                <w:sz w:val="28"/>
                <w:szCs w:val="28"/>
              </w:rPr>
              <w:t>жденными в соответствующем органе власти изм</w:t>
            </w:r>
            <w:r w:rsidRPr="00C75168">
              <w:rPr>
                <w:sz w:val="28"/>
                <w:szCs w:val="28"/>
              </w:rPr>
              <w:t>е</w:t>
            </w:r>
            <w:r w:rsidRPr="00C75168">
              <w:rPr>
                <w:sz w:val="28"/>
                <w:szCs w:val="28"/>
              </w:rPr>
              <w:t>нять правила закупочной деятельности на своем уровне. При этом Правительству РФ предоставить право ограничивать такие изменения в соответс</w:t>
            </w:r>
            <w:r w:rsidRPr="00C75168">
              <w:rPr>
                <w:sz w:val="28"/>
                <w:szCs w:val="28"/>
              </w:rPr>
              <w:t>т</w:t>
            </w:r>
            <w:r w:rsidRPr="00C75168">
              <w:rPr>
                <w:sz w:val="28"/>
                <w:szCs w:val="28"/>
              </w:rPr>
              <w:t>вующих отраслях.</w:t>
            </w:r>
          </w:p>
        </w:tc>
      </w:tr>
    </w:tbl>
    <w:p w:rsidR="009979F1" w:rsidRPr="008A0A1E" w:rsidRDefault="009979F1" w:rsidP="00AD4585">
      <w:pPr>
        <w:rPr>
          <w:sz w:val="28"/>
          <w:szCs w:val="28"/>
        </w:rPr>
      </w:pPr>
    </w:p>
    <w:p w:rsidR="009979F1" w:rsidRPr="008A0A1E" w:rsidRDefault="009979F1" w:rsidP="00AD4585">
      <w:pPr>
        <w:tabs>
          <w:tab w:val="left" w:pos="7200"/>
        </w:tabs>
        <w:rPr>
          <w:sz w:val="28"/>
          <w:szCs w:val="28"/>
        </w:rPr>
      </w:pPr>
    </w:p>
    <w:sectPr w:rsidR="009979F1" w:rsidRPr="008A0A1E" w:rsidSect="000901A6">
      <w:headerReference w:type="even" r:id="rId7"/>
      <w:headerReference w:type="default" r:id="rId8"/>
      <w:headerReference w:type="first" r:id="rId9"/>
      <w:pgSz w:w="16840" w:h="11907" w:orient="landscape" w:code="9"/>
      <w:pgMar w:top="1134" w:right="851" w:bottom="851" w:left="851" w:header="567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9F1" w:rsidRDefault="009979F1">
      <w:r>
        <w:separator/>
      </w:r>
    </w:p>
  </w:endnote>
  <w:endnote w:type="continuationSeparator" w:id="0">
    <w:p w:rsidR="009979F1" w:rsidRDefault="009979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9F1" w:rsidRDefault="009979F1">
      <w:r>
        <w:separator/>
      </w:r>
    </w:p>
  </w:footnote>
  <w:footnote w:type="continuationSeparator" w:id="0">
    <w:p w:rsidR="009979F1" w:rsidRDefault="009979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9F1" w:rsidRDefault="009979F1" w:rsidP="00D3097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79F1" w:rsidRDefault="009979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9F1" w:rsidRDefault="009979F1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9979F1" w:rsidRDefault="009979F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9F1" w:rsidRDefault="009979F1" w:rsidP="008A0A1E">
    <w:pPr>
      <w:pStyle w:val="Header"/>
      <w:tabs>
        <w:tab w:val="left" w:pos="7351"/>
        <w:tab w:val="center" w:pos="7559"/>
      </w:tabs>
    </w:pPr>
    <w:r>
      <w:tab/>
    </w:r>
    <w:r>
      <w:tab/>
    </w:r>
  </w:p>
  <w:p w:rsidR="009979F1" w:rsidRDefault="009979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B133B"/>
    <w:multiLevelType w:val="hybridMultilevel"/>
    <w:tmpl w:val="6930D166"/>
    <w:lvl w:ilvl="0" w:tplc="88603D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10F4CA8"/>
    <w:multiLevelType w:val="hybridMultilevel"/>
    <w:tmpl w:val="D0701606"/>
    <w:lvl w:ilvl="0" w:tplc="BFACAB8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autoHyphenation/>
  <w:hyphenationZone w:val="357"/>
  <w:drawingGridHorizontalSpacing w:val="120"/>
  <w:drawingGridVerticalSpacing w:val="233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1EFE"/>
    <w:rsid w:val="000004A9"/>
    <w:rsid w:val="000021BA"/>
    <w:rsid w:val="00006026"/>
    <w:rsid w:val="00006376"/>
    <w:rsid w:val="00006D98"/>
    <w:rsid w:val="000102EA"/>
    <w:rsid w:val="00010D54"/>
    <w:rsid w:val="000115A0"/>
    <w:rsid w:val="00012ED9"/>
    <w:rsid w:val="00014D6D"/>
    <w:rsid w:val="00016EA3"/>
    <w:rsid w:val="000206FC"/>
    <w:rsid w:val="000218BE"/>
    <w:rsid w:val="00022BBC"/>
    <w:rsid w:val="00022BE4"/>
    <w:rsid w:val="00025013"/>
    <w:rsid w:val="0002523B"/>
    <w:rsid w:val="0002744F"/>
    <w:rsid w:val="00027D2D"/>
    <w:rsid w:val="00031999"/>
    <w:rsid w:val="00032271"/>
    <w:rsid w:val="00032626"/>
    <w:rsid w:val="0003559C"/>
    <w:rsid w:val="00037A62"/>
    <w:rsid w:val="00042571"/>
    <w:rsid w:val="000468CA"/>
    <w:rsid w:val="000524DC"/>
    <w:rsid w:val="000525DF"/>
    <w:rsid w:val="00053800"/>
    <w:rsid w:val="00054BBB"/>
    <w:rsid w:val="000550B8"/>
    <w:rsid w:val="0005644A"/>
    <w:rsid w:val="00056A07"/>
    <w:rsid w:val="0006386F"/>
    <w:rsid w:val="00064397"/>
    <w:rsid w:val="00066680"/>
    <w:rsid w:val="000667A5"/>
    <w:rsid w:val="00070C64"/>
    <w:rsid w:val="00071416"/>
    <w:rsid w:val="00072343"/>
    <w:rsid w:val="00073F13"/>
    <w:rsid w:val="00075168"/>
    <w:rsid w:val="000761C6"/>
    <w:rsid w:val="00076798"/>
    <w:rsid w:val="00076DBF"/>
    <w:rsid w:val="00076E35"/>
    <w:rsid w:val="00077B7C"/>
    <w:rsid w:val="0008009D"/>
    <w:rsid w:val="00080B92"/>
    <w:rsid w:val="00083451"/>
    <w:rsid w:val="00085931"/>
    <w:rsid w:val="00086A77"/>
    <w:rsid w:val="000901A6"/>
    <w:rsid w:val="00094C84"/>
    <w:rsid w:val="00095CAE"/>
    <w:rsid w:val="000A1231"/>
    <w:rsid w:val="000B020A"/>
    <w:rsid w:val="000B0AA9"/>
    <w:rsid w:val="000B1D29"/>
    <w:rsid w:val="000B467D"/>
    <w:rsid w:val="000B53E4"/>
    <w:rsid w:val="000B747F"/>
    <w:rsid w:val="000B767D"/>
    <w:rsid w:val="000C036D"/>
    <w:rsid w:val="000C2785"/>
    <w:rsid w:val="000C3503"/>
    <w:rsid w:val="000C42BA"/>
    <w:rsid w:val="000C4F59"/>
    <w:rsid w:val="000C54B6"/>
    <w:rsid w:val="000D0502"/>
    <w:rsid w:val="000D06F1"/>
    <w:rsid w:val="000D154F"/>
    <w:rsid w:val="000D282D"/>
    <w:rsid w:val="000D39EC"/>
    <w:rsid w:val="000D3E1A"/>
    <w:rsid w:val="000D7B37"/>
    <w:rsid w:val="000E0564"/>
    <w:rsid w:val="000E089A"/>
    <w:rsid w:val="000E11C8"/>
    <w:rsid w:val="000E2DC7"/>
    <w:rsid w:val="000E42F8"/>
    <w:rsid w:val="000E45FA"/>
    <w:rsid w:val="000E48FB"/>
    <w:rsid w:val="000E6C5E"/>
    <w:rsid w:val="000E7FF5"/>
    <w:rsid w:val="000F19B2"/>
    <w:rsid w:val="000F1DF1"/>
    <w:rsid w:val="000F397E"/>
    <w:rsid w:val="000F4C6B"/>
    <w:rsid w:val="000F73E0"/>
    <w:rsid w:val="000F7B31"/>
    <w:rsid w:val="001011C7"/>
    <w:rsid w:val="001028AB"/>
    <w:rsid w:val="00102F3C"/>
    <w:rsid w:val="001044CD"/>
    <w:rsid w:val="00106B94"/>
    <w:rsid w:val="00111784"/>
    <w:rsid w:val="0011182D"/>
    <w:rsid w:val="00112B63"/>
    <w:rsid w:val="001146D2"/>
    <w:rsid w:val="0011565F"/>
    <w:rsid w:val="001167C6"/>
    <w:rsid w:val="00116FD7"/>
    <w:rsid w:val="00117364"/>
    <w:rsid w:val="001178F8"/>
    <w:rsid w:val="001202C0"/>
    <w:rsid w:val="0012152D"/>
    <w:rsid w:val="00121881"/>
    <w:rsid w:val="00123D8F"/>
    <w:rsid w:val="00125C6A"/>
    <w:rsid w:val="00125CED"/>
    <w:rsid w:val="00126902"/>
    <w:rsid w:val="00126CCB"/>
    <w:rsid w:val="00126DE1"/>
    <w:rsid w:val="0013108C"/>
    <w:rsid w:val="001315F4"/>
    <w:rsid w:val="00132C1C"/>
    <w:rsid w:val="00134661"/>
    <w:rsid w:val="00136D5B"/>
    <w:rsid w:val="0013760A"/>
    <w:rsid w:val="001400A0"/>
    <w:rsid w:val="00140A33"/>
    <w:rsid w:val="00140B99"/>
    <w:rsid w:val="00140BCE"/>
    <w:rsid w:val="00141146"/>
    <w:rsid w:val="00141369"/>
    <w:rsid w:val="0014155C"/>
    <w:rsid w:val="00143AED"/>
    <w:rsid w:val="001455EC"/>
    <w:rsid w:val="00146C08"/>
    <w:rsid w:val="00150F97"/>
    <w:rsid w:val="00151CEA"/>
    <w:rsid w:val="00152CF9"/>
    <w:rsid w:val="00153000"/>
    <w:rsid w:val="00153931"/>
    <w:rsid w:val="00153CAE"/>
    <w:rsid w:val="00155E82"/>
    <w:rsid w:val="0015661A"/>
    <w:rsid w:val="0015785F"/>
    <w:rsid w:val="00161E50"/>
    <w:rsid w:val="001630AA"/>
    <w:rsid w:val="001639DB"/>
    <w:rsid w:val="00164304"/>
    <w:rsid w:val="00165111"/>
    <w:rsid w:val="00165DF1"/>
    <w:rsid w:val="00170299"/>
    <w:rsid w:val="00170F90"/>
    <w:rsid w:val="0017137C"/>
    <w:rsid w:val="0017273E"/>
    <w:rsid w:val="00172AB8"/>
    <w:rsid w:val="001740AC"/>
    <w:rsid w:val="001754EC"/>
    <w:rsid w:val="0017563B"/>
    <w:rsid w:val="001765BC"/>
    <w:rsid w:val="00177768"/>
    <w:rsid w:val="00177994"/>
    <w:rsid w:val="00180180"/>
    <w:rsid w:val="00180923"/>
    <w:rsid w:val="00181BA0"/>
    <w:rsid w:val="00181BD6"/>
    <w:rsid w:val="00181E3D"/>
    <w:rsid w:val="001839D4"/>
    <w:rsid w:val="00185221"/>
    <w:rsid w:val="00185D2A"/>
    <w:rsid w:val="00186481"/>
    <w:rsid w:val="00186B1A"/>
    <w:rsid w:val="0019257C"/>
    <w:rsid w:val="00196273"/>
    <w:rsid w:val="001967F9"/>
    <w:rsid w:val="001A2F39"/>
    <w:rsid w:val="001A46C8"/>
    <w:rsid w:val="001A47E9"/>
    <w:rsid w:val="001A4816"/>
    <w:rsid w:val="001A533A"/>
    <w:rsid w:val="001A7266"/>
    <w:rsid w:val="001B1F16"/>
    <w:rsid w:val="001B205E"/>
    <w:rsid w:val="001B2AED"/>
    <w:rsid w:val="001B45FB"/>
    <w:rsid w:val="001C2098"/>
    <w:rsid w:val="001C29D4"/>
    <w:rsid w:val="001C4FA5"/>
    <w:rsid w:val="001C5E6E"/>
    <w:rsid w:val="001C7AE4"/>
    <w:rsid w:val="001D1D82"/>
    <w:rsid w:val="001D2FF4"/>
    <w:rsid w:val="001D32D1"/>
    <w:rsid w:val="001D3B76"/>
    <w:rsid w:val="001D3C12"/>
    <w:rsid w:val="001D430B"/>
    <w:rsid w:val="001D43C0"/>
    <w:rsid w:val="001D5F05"/>
    <w:rsid w:val="001D7412"/>
    <w:rsid w:val="001D75B6"/>
    <w:rsid w:val="001D7A75"/>
    <w:rsid w:val="001E3570"/>
    <w:rsid w:val="001E395C"/>
    <w:rsid w:val="001E3A0A"/>
    <w:rsid w:val="001E3A61"/>
    <w:rsid w:val="001E700B"/>
    <w:rsid w:val="001F0029"/>
    <w:rsid w:val="001F07E4"/>
    <w:rsid w:val="001F14D6"/>
    <w:rsid w:val="001F21CC"/>
    <w:rsid w:val="001F5215"/>
    <w:rsid w:val="002014D5"/>
    <w:rsid w:val="00201B74"/>
    <w:rsid w:val="00201C74"/>
    <w:rsid w:val="00201FCA"/>
    <w:rsid w:val="00204751"/>
    <w:rsid w:val="002072B1"/>
    <w:rsid w:val="00207FEC"/>
    <w:rsid w:val="00211108"/>
    <w:rsid w:val="002125FA"/>
    <w:rsid w:val="00212826"/>
    <w:rsid w:val="002139FF"/>
    <w:rsid w:val="00215839"/>
    <w:rsid w:val="0022481F"/>
    <w:rsid w:val="00224CCA"/>
    <w:rsid w:val="0022681E"/>
    <w:rsid w:val="00226EBF"/>
    <w:rsid w:val="00230B5B"/>
    <w:rsid w:val="00231F6B"/>
    <w:rsid w:val="00232261"/>
    <w:rsid w:val="00232AEA"/>
    <w:rsid w:val="002333F0"/>
    <w:rsid w:val="00235A22"/>
    <w:rsid w:val="00236003"/>
    <w:rsid w:val="0024008A"/>
    <w:rsid w:val="00240CF6"/>
    <w:rsid w:val="00241A0F"/>
    <w:rsid w:val="00241BBC"/>
    <w:rsid w:val="0024377A"/>
    <w:rsid w:val="00243AD9"/>
    <w:rsid w:val="00244A5C"/>
    <w:rsid w:val="00246080"/>
    <w:rsid w:val="002463EF"/>
    <w:rsid w:val="00246C11"/>
    <w:rsid w:val="00247230"/>
    <w:rsid w:val="0024792F"/>
    <w:rsid w:val="0025045B"/>
    <w:rsid w:val="00251C04"/>
    <w:rsid w:val="00251E63"/>
    <w:rsid w:val="0025323D"/>
    <w:rsid w:val="00255CCD"/>
    <w:rsid w:val="002578AB"/>
    <w:rsid w:val="002620E3"/>
    <w:rsid w:val="00262A83"/>
    <w:rsid w:val="00262AE5"/>
    <w:rsid w:val="00263D4C"/>
    <w:rsid w:val="00265D79"/>
    <w:rsid w:val="00266BE1"/>
    <w:rsid w:val="00272491"/>
    <w:rsid w:val="002729AD"/>
    <w:rsid w:val="00275A7D"/>
    <w:rsid w:val="002770C0"/>
    <w:rsid w:val="00277356"/>
    <w:rsid w:val="00277942"/>
    <w:rsid w:val="0028049A"/>
    <w:rsid w:val="00280CD9"/>
    <w:rsid w:val="002812AA"/>
    <w:rsid w:val="00281739"/>
    <w:rsid w:val="00284749"/>
    <w:rsid w:val="00290182"/>
    <w:rsid w:val="00291028"/>
    <w:rsid w:val="002914B1"/>
    <w:rsid w:val="002915C8"/>
    <w:rsid w:val="002917F1"/>
    <w:rsid w:val="00296481"/>
    <w:rsid w:val="0029698D"/>
    <w:rsid w:val="00297A53"/>
    <w:rsid w:val="002A083E"/>
    <w:rsid w:val="002A0F28"/>
    <w:rsid w:val="002A16CA"/>
    <w:rsid w:val="002A36B7"/>
    <w:rsid w:val="002A3E70"/>
    <w:rsid w:val="002A6442"/>
    <w:rsid w:val="002A6E54"/>
    <w:rsid w:val="002B1A48"/>
    <w:rsid w:val="002B1BDC"/>
    <w:rsid w:val="002B1F9D"/>
    <w:rsid w:val="002C2054"/>
    <w:rsid w:val="002C23F3"/>
    <w:rsid w:val="002C33D4"/>
    <w:rsid w:val="002C51E6"/>
    <w:rsid w:val="002C6AE5"/>
    <w:rsid w:val="002C7B54"/>
    <w:rsid w:val="002D0F1F"/>
    <w:rsid w:val="002D344A"/>
    <w:rsid w:val="002D5BB9"/>
    <w:rsid w:val="002D5FE3"/>
    <w:rsid w:val="002D6B97"/>
    <w:rsid w:val="002D6EB2"/>
    <w:rsid w:val="002E043B"/>
    <w:rsid w:val="002E1733"/>
    <w:rsid w:val="002E1923"/>
    <w:rsid w:val="002E1CA2"/>
    <w:rsid w:val="002E23A1"/>
    <w:rsid w:val="002E2C6B"/>
    <w:rsid w:val="002E4A08"/>
    <w:rsid w:val="002E5D4A"/>
    <w:rsid w:val="002F31CC"/>
    <w:rsid w:val="002F46AC"/>
    <w:rsid w:val="003015F5"/>
    <w:rsid w:val="00301F3F"/>
    <w:rsid w:val="0030365E"/>
    <w:rsid w:val="00304A67"/>
    <w:rsid w:val="003057D6"/>
    <w:rsid w:val="00306CAD"/>
    <w:rsid w:val="0031064E"/>
    <w:rsid w:val="003107A1"/>
    <w:rsid w:val="00311791"/>
    <w:rsid w:val="003143F2"/>
    <w:rsid w:val="00316190"/>
    <w:rsid w:val="00317EEF"/>
    <w:rsid w:val="00321238"/>
    <w:rsid w:val="0032193C"/>
    <w:rsid w:val="00322409"/>
    <w:rsid w:val="003237C1"/>
    <w:rsid w:val="00326CC5"/>
    <w:rsid w:val="003307A8"/>
    <w:rsid w:val="00331278"/>
    <w:rsid w:val="0033381D"/>
    <w:rsid w:val="0033423F"/>
    <w:rsid w:val="00334AD2"/>
    <w:rsid w:val="00335954"/>
    <w:rsid w:val="003361AB"/>
    <w:rsid w:val="00337B39"/>
    <w:rsid w:val="00340701"/>
    <w:rsid w:val="00343061"/>
    <w:rsid w:val="00345274"/>
    <w:rsid w:val="003455A9"/>
    <w:rsid w:val="00345E4C"/>
    <w:rsid w:val="0035083A"/>
    <w:rsid w:val="00351ED8"/>
    <w:rsid w:val="00353673"/>
    <w:rsid w:val="00353919"/>
    <w:rsid w:val="00357AD0"/>
    <w:rsid w:val="00361D72"/>
    <w:rsid w:val="00362F1A"/>
    <w:rsid w:val="003632AC"/>
    <w:rsid w:val="00366447"/>
    <w:rsid w:val="00366B04"/>
    <w:rsid w:val="00367FA6"/>
    <w:rsid w:val="0037018A"/>
    <w:rsid w:val="0037049C"/>
    <w:rsid w:val="00371B29"/>
    <w:rsid w:val="0037211F"/>
    <w:rsid w:val="003721B4"/>
    <w:rsid w:val="003726FF"/>
    <w:rsid w:val="00374958"/>
    <w:rsid w:val="00374C56"/>
    <w:rsid w:val="003771A1"/>
    <w:rsid w:val="0037791A"/>
    <w:rsid w:val="003806EF"/>
    <w:rsid w:val="0038152A"/>
    <w:rsid w:val="00384BB1"/>
    <w:rsid w:val="00387112"/>
    <w:rsid w:val="0039140B"/>
    <w:rsid w:val="003965AE"/>
    <w:rsid w:val="00397D31"/>
    <w:rsid w:val="003A15B6"/>
    <w:rsid w:val="003A1C40"/>
    <w:rsid w:val="003A44A8"/>
    <w:rsid w:val="003A4C6B"/>
    <w:rsid w:val="003A626E"/>
    <w:rsid w:val="003A6C0C"/>
    <w:rsid w:val="003B12A5"/>
    <w:rsid w:val="003B16D8"/>
    <w:rsid w:val="003B1B80"/>
    <w:rsid w:val="003B298B"/>
    <w:rsid w:val="003B3707"/>
    <w:rsid w:val="003B6167"/>
    <w:rsid w:val="003B6517"/>
    <w:rsid w:val="003B6EEF"/>
    <w:rsid w:val="003C0C6E"/>
    <w:rsid w:val="003C1A3C"/>
    <w:rsid w:val="003C2023"/>
    <w:rsid w:val="003C2854"/>
    <w:rsid w:val="003C29D6"/>
    <w:rsid w:val="003C364B"/>
    <w:rsid w:val="003C3AE2"/>
    <w:rsid w:val="003C4B93"/>
    <w:rsid w:val="003C4C51"/>
    <w:rsid w:val="003C54A6"/>
    <w:rsid w:val="003D01CA"/>
    <w:rsid w:val="003D0213"/>
    <w:rsid w:val="003D2454"/>
    <w:rsid w:val="003D2FF8"/>
    <w:rsid w:val="003D46CE"/>
    <w:rsid w:val="003D5C92"/>
    <w:rsid w:val="003D6E68"/>
    <w:rsid w:val="003E1C78"/>
    <w:rsid w:val="003E2798"/>
    <w:rsid w:val="003E32E3"/>
    <w:rsid w:val="003E33E7"/>
    <w:rsid w:val="003E5995"/>
    <w:rsid w:val="003E66B0"/>
    <w:rsid w:val="003E7417"/>
    <w:rsid w:val="003E78F1"/>
    <w:rsid w:val="003E7A43"/>
    <w:rsid w:val="003F23D2"/>
    <w:rsid w:val="003F49A8"/>
    <w:rsid w:val="003F5404"/>
    <w:rsid w:val="003F7B34"/>
    <w:rsid w:val="00400228"/>
    <w:rsid w:val="004027DE"/>
    <w:rsid w:val="00402B23"/>
    <w:rsid w:val="00402C7D"/>
    <w:rsid w:val="0040317E"/>
    <w:rsid w:val="00410034"/>
    <w:rsid w:val="004103CC"/>
    <w:rsid w:val="00410A3D"/>
    <w:rsid w:val="00412EDA"/>
    <w:rsid w:val="00412EF4"/>
    <w:rsid w:val="004139E5"/>
    <w:rsid w:val="00413FB7"/>
    <w:rsid w:val="004167A8"/>
    <w:rsid w:val="00417266"/>
    <w:rsid w:val="004236AD"/>
    <w:rsid w:val="00424FDA"/>
    <w:rsid w:val="00425447"/>
    <w:rsid w:val="00427AA8"/>
    <w:rsid w:val="0043445E"/>
    <w:rsid w:val="0043565E"/>
    <w:rsid w:val="004368BD"/>
    <w:rsid w:val="00437AAE"/>
    <w:rsid w:val="00437BA7"/>
    <w:rsid w:val="00437C99"/>
    <w:rsid w:val="004418C3"/>
    <w:rsid w:val="00445ED0"/>
    <w:rsid w:val="004507B0"/>
    <w:rsid w:val="00453CFD"/>
    <w:rsid w:val="00455E75"/>
    <w:rsid w:val="00456DD6"/>
    <w:rsid w:val="00461C6B"/>
    <w:rsid w:val="00462C0D"/>
    <w:rsid w:val="00464CA6"/>
    <w:rsid w:val="00465362"/>
    <w:rsid w:val="004658D4"/>
    <w:rsid w:val="00465A4A"/>
    <w:rsid w:val="0046796C"/>
    <w:rsid w:val="00467A3D"/>
    <w:rsid w:val="00471177"/>
    <w:rsid w:val="00472436"/>
    <w:rsid w:val="004734D6"/>
    <w:rsid w:val="00476708"/>
    <w:rsid w:val="004771B9"/>
    <w:rsid w:val="00483C24"/>
    <w:rsid w:val="00483D1B"/>
    <w:rsid w:val="00484081"/>
    <w:rsid w:val="00490838"/>
    <w:rsid w:val="00490E1C"/>
    <w:rsid w:val="004945A9"/>
    <w:rsid w:val="004946A9"/>
    <w:rsid w:val="00495F89"/>
    <w:rsid w:val="00495FA5"/>
    <w:rsid w:val="00496595"/>
    <w:rsid w:val="004A2ACB"/>
    <w:rsid w:val="004A2BBE"/>
    <w:rsid w:val="004A2CD0"/>
    <w:rsid w:val="004A3341"/>
    <w:rsid w:val="004A3D94"/>
    <w:rsid w:val="004A6921"/>
    <w:rsid w:val="004A7268"/>
    <w:rsid w:val="004A7775"/>
    <w:rsid w:val="004B01AB"/>
    <w:rsid w:val="004B093F"/>
    <w:rsid w:val="004B0E60"/>
    <w:rsid w:val="004B15D8"/>
    <w:rsid w:val="004B2251"/>
    <w:rsid w:val="004B23B2"/>
    <w:rsid w:val="004B3AD3"/>
    <w:rsid w:val="004B3DB6"/>
    <w:rsid w:val="004B4649"/>
    <w:rsid w:val="004B487A"/>
    <w:rsid w:val="004B4B4D"/>
    <w:rsid w:val="004C21BC"/>
    <w:rsid w:val="004C3AFE"/>
    <w:rsid w:val="004C778B"/>
    <w:rsid w:val="004D2735"/>
    <w:rsid w:val="004D2CA8"/>
    <w:rsid w:val="004D3686"/>
    <w:rsid w:val="004D36D5"/>
    <w:rsid w:val="004D3EA5"/>
    <w:rsid w:val="004E0059"/>
    <w:rsid w:val="004E2BDD"/>
    <w:rsid w:val="004E4573"/>
    <w:rsid w:val="004E71D6"/>
    <w:rsid w:val="004F1D11"/>
    <w:rsid w:val="004F2365"/>
    <w:rsid w:val="004F3745"/>
    <w:rsid w:val="004F409B"/>
    <w:rsid w:val="004F426B"/>
    <w:rsid w:val="004F4F36"/>
    <w:rsid w:val="004F7221"/>
    <w:rsid w:val="0050042C"/>
    <w:rsid w:val="005018BF"/>
    <w:rsid w:val="00506368"/>
    <w:rsid w:val="0050655A"/>
    <w:rsid w:val="005072F3"/>
    <w:rsid w:val="005075A8"/>
    <w:rsid w:val="005079BB"/>
    <w:rsid w:val="00507DEE"/>
    <w:rsid w:val="00511D18"/>
    <w:rsid w:val="0051201A"/>
    <w:rsid w:val="0051277D"/>
    <w:rsid w:val="00515BAE"/>
    <w:rsid w:val="005173D0"/>
    <w:rsid w:val="00517C89"/>
    <w:rsid w:val="00523770"/>
    <w:rsid w:val="00523D8D"/>
    <w:rsid w:val="00524108"/>
    <w:rsid w:val="005250CC"/>
    <w:rsid w:val="00531D84"/>
    <w:rsid w:val="00532101"/>
    <w:rsid w:val="005326AA"/>
    <w:rsid w:val="00532DC4"/>
    <w:rsid w:val="005335E9"/>
    <w:rsid w:val="00533D4F"/>
    <w:rsid w:val="00534734"/>
    <w:rsid w:val="00536458"/>
    <w:rsid w:val="005371F4"/>
    <w:rsid w:val="00537674"/>
    <w:rsid w:val="0053795C"/>
    <w:rsid w:val="005405D4"/>
    <w:rsid w:val="005412F8"/>
    <w:rsid w:val="00541EF9"/>
    <w:rsid w:val="00544747"/>
    <w:rsid w:val="00544D31"/>
    <w:rsid w:val="0054672C"/>
    <w:rsid w:val="00547B32"/>
    <w:rsid w:val="00555552"/>
    <w:rsid w:val="00560254"/>
    <w:rsid w:val="005630C3"/>
    <w:rsid w:val="00563DA7"/>
    <w:rsid w:val="00564581"/>
    <w:rsid w:val="00565409"/>
    <w:rsid w:val="00566940"/>
    <w:rsid w:val="00570314"/>
    <w:rsid w:val="00570659"/>
    <w:rsid w:val="005711EC"/>
    <w:rsid w:val="0057444F"/>
    <w:rsid w:val="005751EF"/>
    <w:rsid w:val="00575609"/>
    <w:rsid w:val="00575831"/>
    <w:rsid w:val="005770CD"/>
    <w:rsid w:val="00577ED2"/>
    <w:rsid w:val="005823C5"/>
    <w:rsid w:val="00582E3A"/>
    <w:rsid w:val="00584DFA"/>
    <w:rsid w:val="00585230"/>
    <w:rsid w:val="00585C98"/>
    <w:rsid w:val="00585EB6"/>
    <w:rsid w:val="00590C3A"/>
    <w:rsid w:val="0059145A"/>
    <w:rsid w:val="005932B2"/>
    <w:rsid w:val="005A15AB"/>
    <w:rsid w:val="005A16BC"/>
    <w:rsid w:val="005A2F75"/>
    <w:rsid w:val="005A38EF"/>
    <w:rsid w:val="005A5E2E"/>
    <w:rsid w:val="005A6110"/>
    <w:rsid w:val="005A6593"/>
    <w:rsid w:val="005A6DB0"/>
    <w:rsid w:val="005B02DE"/>
    <w:rsid w:val="005B0DBE"/>
    <w:rsid w:val="005B1BDA"/>
    <w:rsid w:val="005C2FEF"/>
    <w:rsid w:val="005C44B1"/>
    <w:rsid w:val="005C472E"/>
    <w:rsid w:val="005C545D"/>
    <w:rsid w:val="005C7496"/>
    <w:rsid w:val="005C76D7"/>
    <w:rsid w:val="005D16CD"/>
    <w:rsid w:val="005D39BE"/>
    <w:rsid w:val="005D4023"/>
    <w:rsid w:val="005D5407"/>
    <w:rsid w:val="005D5F47"/>
    <w:rsid w:val="005D6404"/>
    <w:rsid w:val="005E1DDA"/>
    <w:rsid w:val="005E4B91"/>
    <w:rsid w:val="005F184F"/>
    <w:rsid w:val="005F1A85"/>
    <w:rsid w:val="005F31AB"/>
    <w:rsid w:val="005F34C0"/>
    <w:rsid w:val="005F4235"/>
    <w:rsid w:val="005F4878"/>
    <w:rsid w:val="005F767D"/>
    <w:rsid w:val="006013BE"/>
    <w:rsid w:val="006028E0"/>
    <w:rsid w:val="00602E6F"/>
    <w:rsid w:val="00603C10"/>
    <w:rsid w:val="00604E7E"/>
    <w:rsid w:val="006054E9"/>
    <w:rsid w:val="00605A5C"/>
    <w:rsid w:val="0060701A"/>
    <w:rsid w:val="00607B50"/>
    <w:rsid w:val="00611A58"/>
    <w:rsid w:val="00611E09"/>
    <w:rsid w:val="00612784"/>
    <w:rsid w:val="00612CDD"/>
    <w:rsid w:val="00614B64"/>
    <w:rsid w:val="00616280"/>
    <w:rsid w:val="00617E44"/>
    <w:rsid w:val="00620E37"/>
    <w:rsid w:val="006238CD"/>
    <w:rsid w:val="00623CF1"/>
    <w:rsid w:val="00624F64"/>
    <w:rsid w:val="00626380"/>
    <w:rsid w:val="00626BA2"/>
    <w:rsid w:val="00626F1C"/>
    <w:rsid w:val="006275D6"/>
    <w:rsid w:val="006279BF"/>
    <w:rsid w:val="0063112C"/>
    <w:rsid w:val="006325FC"/>
    <w:rsid w:val="00634303"/>
    <w:rsid w:val="00634C48"/>
    <w:rsid w:val="00637158"/>
    <w:rsid w:val="00640C45"/>
    <w:rsid w:val="00641461"/>
    <w:rsid w:val="00642BBE"/>
    <w:rsid w:val="00644324"/>
    <w:rsid w:val="006444CD"/>
    <w:rsid w:val="0064492B"/>
    <w:rsid w:val="00644C82"/>
    <w:rsid w:val="00644D95"/>
    <w:rsid w:val="00647748"/>
    <w:rsid w:val="006478ED"/>
    <w:rsid w:val="00650330"/>
    <w:rsid w:val="00650BA1"/>
    <w:rsid w:val="006532FA"/>
    <w:rsid w:val="00655CDC"/>
    <w:rsid w:val="006565F9"/>
    <w:rsid w:val="00657193"/>
    <w:rsid w:val="00660394"/>
    <w:rsid w:val="0066078A"/>
    <w:rsid w:val="00660DAB"/>
    <w:rsid w:val="00662E52"/>
    <w:rsid w:val="0066313A"/>
    <w:rsid w:val="006652AE"/>
    <w:rsid w:val="0066708A"/>
    <w:rsid w:val="00671107"/>
    <w:rsid w:val="00673A26"/>
    <w:rsid w:val="00673DF5"/>
    <w:rsid w:val="00674959"/>
    <w:rsid w:val="00674BFF"/>
    <w:rsid w:val="00676421"/>
    <w:rsid w:val="00680347"/>
    <w:rsid w:val="00680D03"/>
    <w:rsid w:val="00681561"/>
    <w:rsid w:val="006817A1"/>
    <w:rsid w:val="006837D7"/>
    <w:rsid w:val="006838CC"/>
    <w:rsid w:val="00685A06"/>
    <w:rsid w:val="00686EE8"/>
    <w:rsid w:val="00687E5E"/>
    <w:rsid w:val="0069070F"/>
    <w:rsid w:val="0069098C"/>
    <w:rsid w:val="006909C1"/>
    <w:rsid w:val="0069297A"/>
    <w:rsid w:val="00693B22"/>
    <w:rsid w:val="006942B6"/>
    <w:rsid w:val="006943D3"/>
    <w:rsid w:val="006959AF"/>
    <w:rsid w:val="006A05C5"/>
    <w:rsid w:val="006A18A0"/>
    <w:rsid w:val="006A2085"/>
    <w:rsid w:val="006A6CA1"/>
    <w:rsid w:val="006A6CDD"/>
    <w:rsid w:val="006B077D"/>
    <w:rsid w:val="006B2536"/>
    <w:rsid w:val="006B276E"/>
    <w:rsid w:val="006B2C91"/>
    <w:rsid w:val="006B315B"/>
    <w:rsid w:val="006B31F7"/>
    <w:rsid w:val="006B6AD7"/>
    <w:rsid w:val="006B7D22"/>
    <w:rsid w:val="006C02E4"/>
    <w:rsid w:val="006C041B"/>
    <w:rsid w:val="006C05A9"/>
    <w:rsid w:val="006C09C4"/>
    <w:rsid w:val="006C4151"/>
    <w:rsid w:val="006C4409"/>
    <w:rsid w:val="006C4E49"/>
    <w:rsid w:val="006C7C83"/>
    <w:rsid w:val="006C7DB2"/>
    <w:rsid w:val="006D1CEB"/>
    <w:rsid w:val="006D32A1"/>
    <w:rsid w:val="006D3686"/>
    <w:rsid w:val="006D381F"/>
    <w:rsid w:val="006D52CD"/>
    <w:rsid w:val="006D575F"/>
    <w:rsid w:val="006D63E2"/>
    <w:rsid w:val="006D6688"/>
    <w:rsid w:val="006D6A8D"/>
    <w:rsid w:val="006D7030"/>
    <w:rsid w:val="006D767A"/>
    <w:rsid w:val="006E1D2E"/>
    <w:rsid w:val="006E3677"/>
    <w:rsid w:val="006E4FFE"/>
    <w:rsid w:val="006E511F"/>
    <w:rsid w:val="006E7818"/>
    <w:rsid w:val="006F17B7"/>
    <w:rsid w:val="006F1C1B"/>
    <w:rsid w:val="006F563C"/>
    <w:rsid w:val="006F626E"/>
    <w:rsid w:val="006F6C18"/>
    <w:rsid w:val="00701A6D"/>
    <w:rsid w:val="007029A6"/>
    <w:rsid w:val="00704A4A"/>
    <w:rsid w:val="00704D4F"/>
    <w:rsid w:val="0070661C"/>
    <w:rsid w:val="00706CFF"/>
    <w:rsid w:val="00707484"/>
    <w:rsid w:val="00707BFE"/>
    <w:rsid w:val="0071142C"/>
    <w:rsid w:val="00711C9F"/>
    <w:rsid w:val="00712CE7"/>
    <w:rsid w:val="00713431"/>
    <w:rsid w:val="007136E1"/>
    <w:rsid w:val="00714031"/>
    <w:rsid w:val="00714B46"/>
    <w:rsid w:val="00717118"/>
    <w:rsid w:val="007172D7"/>
    <w:rsid w:val="00721C72"/>
    <w:rsid w:val="00722A48"/>
    <w:rsid w:val="00724208"/>
    <w:rsid w:val="007245CB"/>
    <w:rsid w:val="00724885"/>
    <w:rsid w:val="00724B79"/>
    <w:rsid w:val="00726FC1"/>
    <w:rsid w:val="0072799C"/>
    <w:rsid w:val="007312C9"/>
    <w:rsid w:val="007315AB"/>
    <w:rsid w:val="00731618"/>
    <w:rsid w:val="00734F45"/>
    <w:rsid w:val="00735429"/>
    <w:rsid w:val="00735948"/>
    <w:rsid w:val="007377D1"/>
    <w:rsid w:val="00737B3B"/>
    <w:rsid w:val="0074259D"/>
    <w:rsid w:val="007438D2"/>
    <w:rsid w:val="007443FB"/>
    <w:rsid w:val="00745102"/>
    <w:rsid w:val="007461A9"/>
    <w:rsid w:val="00746DC9"/>
    <w:rsid w:val="00747600"/>
    <w:rsid w:val="0075043B"/>
    <w:rsid w:val="007504AD"/>
    <w:rsid w:val="00750F9D"/>
    <w:rsid w:val="0075153F"/>
    <w:rsid w:val="007519A5"/>
    <w:rsid w:val="00751E9E"/>
    <w:rsid w:val="007522B5"/>
    <w:rsid w:val="007536C3"/>
    <w:rsid w:val="00753A1D"/>
    <w:rsid w:val="00754326"/>
    <w:rsid w:val="0075530D"/>
    <w:rsid w:val="007563E3"/>
    <w:rsid w:val="00760ECD"/>
    <w:rsid w:val="00762249"/>
    <w:rsid w:val="00762314"/>
    <w:rsid w:val="00763872"/>
    <w:rsid w:val="00763DB8"/>
    <w:rsid w:val="00763FAF"/>
    <w:rsid w:val="007640BE"/>
    <w:rsid w:val="00766D9C"/>
    <w:rsid w:val="007670C8"/>
    <w:rsid w:val="0076752B"/>
    <w:rsid w:val="007708A5"/>
    <w:rsid w:val="00772CB2"/>
    <w:rsid w:val="00773209"/>
    <w:rsid w:val="007733A1"/>
    <w:rsid w:val="00777EB2"/>
    <w:rsid w:val="00777FAF"/>
    <w:rsid w:val="007813A6"/>
    <w:rsid w:val="00781D29"/>
    <w:rsid w:val="0078253B"/>
    <w:rsid w:val="00782851"/>
    <w:rsid w:val="00782BBE"/>
    <w:rsid w:val="00784A83"/>
    <w:rsid w:val="00784B6B"/>
    <w:rsid w:val="00786568"/>
    <w:rsid w:val="00787438"/>
    <w:rsid w:val="007877EB"/>
    <w:rsid w:val="007902EF"/>
    <w:rsid w:val="00791D14"/>
    <w:rsid w:val="00794FAB"/>
    <w:rsid w:val="007951E9"/>
    <w:rsid w:val="00796667"/>
    <w:rsid w:val="00796B04"/>
    <w:rsid w:val="007A0266"/>
    <w:rsid w:val="007A07D6"/>
    <w:rsid w:val="007A0A26"/>
    <w:rsid w:val="007A19D0"/>
    <w:rsid w:val="007A1DD3"/>
    <w:rsid w:val="007A1DD4"/>
    <w:rsid w:val="007A206B"/>
    <w:rsid w:val="007A2BA5"/>
    <w:rsid w:val="007A4CF2"/>
    <w:rsid w:val="007A573A"/>
    <w:rsid w:val="007A6A8A"/>
    <w:rsid w:val="007A6C88"/>
    <w:rsid w:val="007B0920"/>
    <w:rsid w:val="007B2646"/>
    <w:rsid w:val="007B2A9C"/>
    <w:rsid w:val="007B2D03"/>
    <w:rsid w:val="007B4AC1"/>
    <w:rsid w:val="007B7F1C"/>
    <w:rsid w:val="007C0E0E"/>
    <w:rsid w:val="007C2901"/>
    <w:rsid w:val="007C39C6"/>
    <w:rsid w:val="007C5300"/>
    <w:rsid w:val="007C5D7C"/>
    <w:rsid w:val="007C5DA5"/>
    <w:rsid w:val="007C625A"/>
    <w:rsid w:val="007C6C0A"/>
    <w:rsid w:val="007C7E42"/>
    <w:rsid w:val="007D2493"/>
    <w:rsid w:val="007D267C"/>
    <w:rsid w:val="007D28AE"/>
    <w:rsid w:val="007D4901"/>
    <w:rsid w:val="007D4B10"/>
    <w:rsid w:val="007D5729"/>
    <w:rsid w:val="007D79A2"/>
    <w:rsid w:val="007E5871"/>
    <w:rsid w:val="007E60EE"/>
    <w:rsid w:val="007E798B"/>
    <w:rsid w:val="007F022E"/>
    <w:rsid w:val="007F02D8"/>
    <w:rsid w:val="007F0E5D"/>
    <w:rsid w:val="007F3490"/>
    <w:rsid w:val="007F4A53"/>
    <w:rsid w:val="007F4CB3"/>
    <w:rsid w:val="007F4D0A"/>
    <w:rsid w:val="00801C42"/>
    <w:rsid w:val="00802560"/>
    <w:rsid w:val="00802D50"/>
    <w:rsid w:val="008030DB"/>
    <w:rsid w:val="008058B9"/>
    <w:rsid w:val="00805DC3"/>
    <w:rsid w:val="00806139"/>
    <w:rsid w:val="008073D5"/>
    <w:rsid w:val="00807740"/>
    <w:rsid w:val="00807782"/>
    <w:rsid w:val="008104D4"/>
    <w:rsid w:val="00812259"/>
    <w:rsid w:val="0081270E"/>
    <w:rsid w:val="00813E55"/>
    <w:rsid w:val="00814206"/>
    <w:rsid w:val="00814489"/>
    <w:rsid w:val="00814FE0"/>
    <w:rsid w:val="0081612D"/>
    <w:rsid w:val="008165C3"/>
    <w:rsid w:val="00816749"/>
    <w:rsid w:val="00816D76"/>
    <w:rsid w:val="00817417"/>
    <w:rsid w:val="00820E7E"/>
    <w:rsid w:val="008212FA"/>
    <w:rsid w:val="00821E81"/>
    <w:rsid w:val="00822366"/>
    <w:rsid w:val="00822EAB"/>
    <w:rsid w:val="00823C0A"/>
    <w:rsid w:val="00824409"/>
    <w:rsid w:val="00824588"/>
    <w:rsid w:val="008245C7"/>
    <w:rsid w:val="00824F62"/>
    <w:rsid w:val="00826111"/>
    <w:rsid w:val="0083080D"/>
    <w:rsid w:val="008316B5"/>
    <w:rsid w:val="00834F48"/>
    <w:rsid w:val="00836422"/>
    <w:rsid w:val="008367A4"/>
    <w:rsid w:val="00836BD9"/>
    <w:rsid w:val="00836BE4"/>
    <w:rsid w:val="0084025A"/>
    <w:rsid w:val="00844E87"/>
    <w:rsid w:val="008458F5"/>
    <w:rsid w:val="00845933"/>
    <w:rsid w:val="00845B37"/>
    <w:rsid w:val="0084637C"/>
    <w:rsid w:val="008471FA"/>
    <w:rsid w:val="00847402"/>
    <w:rsid w:val="008474FA"/>
    <w:rsid w:val="00852324"/>
    <w:rsid w:val="00852F55"/>
    <w:rsid w:val="00854BA1"/>
    <w:rsid w:val="00856299"/>
    <w:rsid w:val="00856406"/>
    <w:rsid w:val="00856E86"/>
    <w:rsid w:val="00857DCE"/>
    <w:rsid w:val="0086001E"/>
    <w:rsid w:val="0086028C"/>
    <w:rsid w:val="0086037B"/>
    <w:rsid w:val="00860A8D"/>
    <w:rsid w:val="008612ED"/>
    <w:rsid w:val="00861723"/>
    <w:rsid w:val="00861CBB"/>
    <w:rsid w:val="00862055"/>
    <w:rsid w:val="00863265"/>
    <w:rsid w:val="008645DE"/>
    <w:rsid w:val="00872C4E"/>
    <w:rsid w:val="00872F2B"/>
    <w:rsid w:val="00873A9D"/>
    <w:rsid w:val="00874FBB"/>
    <w:rsid w:val="008757A3"/>
    <w:rsid w:val="008762AC"/>
    <w:rsid w:val="00881455"/>
    <w:rsid w:val="00881F8C"/>
    <w:rsid w:val="008827DB"/>
    <w:rsid w:val="00883DCD"/>
    <w:rsid w:val="008842F2"/>
    <w:rsid w:val="00885DD7"/>
    <w:rsid w:val="008867EE"/>
    <w:rsid w:val="00886A82"/>
    <w:rsid w:val="008875EC"/>
    <w:rsid w:val="008878E7"/>
    <w:rsid w:val="0089105A"/>
    <w:rsid w:val="00894851"/>
    <w:rsid w:val="00896B37"/>
    <w:rsid w:val="00896C1B"/>
    <w:rsid w:val="008A0A1E"/>
    <w:rsid w:val="008A0DB3"/>
    <w:rsid w:val="008A118C"/>
    <w:rsid w:val="008A2568"/>
    <w:rsid w:val="008A4155"/>
    <w:rsid w:val="008A5D81"/>
    <w:rsid w:val="008A65F1"/>
    <w:rsid w:val="008A7883"/>
    <w:rsid w:val="008A79F0"/>
    <w:rsid w:val="008A7ED2"/>
    <w:rsid w:val="008B016D"/>
    <w:rsid w:val="008B1B91"/>
    <w:rsid w:val="008B2CFA"/>
    <w:rsid w:val="008B3C4A"/>
    <w:rsid w:val="008B4043"/>
    <w:rsid w:val="008B4CF4"/>
    <w:rsid w:val="008B590F"/>
    <w:rsid w:val="008B5ABE"/>
    <w:rsid w:val="008B5CD4"/>
    <w:rsid w:val="008B6F6C"/>
    <w:rsid w:val="008B7C89"/>
    <w:rsid w:val="008C0202"/>
    <w:rsid w:val="008C0212"/>
    <w:rsid w:val="008C0E71"/>
    <w:rsid w:val="008C2747"/>
    <w:rsid w:val="008C3266"/>
    <w:rsid w:val="008C3B30"/>
    <w:rsid w:val="008C3FA1"/>
    <w:rsid w:val="008C6B44"/>
    <w:rsid w:val="008C76C3"/>
    <w:rsid w:val="008C7B08"/>
    <w:rsid w:val="008D0D52"/>
    <w:rsid w:val="008D2136"/>
    <w:rsid w:val="008D2BC1"/>
    <w:rsid w:val="008D2D39"/>
    <w:rsid w:val="008D3565"/>
    <w:rsid w:val="008D4832"/>
    <w:rsid w:val="008D5038"/>
    <w:rsid w:val="008D67DE"/>
    <w:rsid w:val="008D6D04"/>
    <w:rsid w:val="008D6D57"/>
    <w:rsid w:val="008E35E7"/>
    <w:rsid w:val="008E5721"/>
    <w:rsid w:val="008E5D0A"/>
    <w:rsid w:val="008E65E1"/>
    <w:rsid w:val="008E7307"/>
    <w:rsid w:val="008E7579"/>
    <w:rsid w:val="008F0ECA"/>
    <w:rsid w:val="008F4613"/>
    <w:rsid w:val="008F560C"/>
    <w:rsid w:val="008F5C6B"/>
    <w:rsid w:val="008F615C"/>
    <w:rsid w:val="008F6569"/>
    <w:rsid w:val="008F71EC"/>
    <w:rsid w:val="009016DA"/>
    <w:rsid w:val="00901D8D"/>
    <w:rsid w:val="00904029"/>
    <w:rsid w:val="009056BC"/>
    <w:rsid w:val="009068CB"/>
    <w:rsid w:val="00911EE6"/>
    <w:rsid w:val="0092003F"/>
    <w:rsid w:val="00922C8E"/>
    <w:rsid w:val="009237EC"/>
    <w:rsid w:val="009273B4"/>
    <w:rsid w:val="009274DD"/>
    <w:rsid w:val="009311A6"/>
    <w:rsid w:val="00931F8C"/>
    <w:rsid w:val="009322A3"/>
    <w:rsid w:val="00933B18"/>
    <w:rsid w:val="00934299"/>
    <w:rsid w:val="009342E3"/>
    <w:rsid w:val="009351B7"/>
    <w:rsid w:val="00936061"/>
    <w:rsid w:val="00937D05"/>
    <w:rsid w:val="0094259A"/>
    <w:rsid w:val="00942AEE"/>
    <w:rsid w:val="00942F33"/>
    <w:rsid w:val="00943833"/>
    <w:rsid w:val="00943CCA"/>
    <w:rsid w:val="009451C9"/>
    <w:rsid w:val="0094575B"/>
    <w:rsid w:val="00950E11"/>
    <w:rsid w:val="00951445"/>
    <w:rsid w:val="00952054"/>
    <w:rsid w:val="0095275D"/>
    <w:rsid w:val="00957C31"/>
    <w:rsid w:val="00960743"/>
    <w:rsid w:val="00961B57"/>
    <w:rsid w:val="00961D90"/>
    <w:rsid w:val="00962367"/>
    <w:rsid w:val="00962ED4"/>
    <w:rsid w:val="00965E7E"/>
    <w:rsid w:val="00966895"/>
    <w:rsid w:val="009723C7"/>
    <w:rsid w:val="00974BA3"/>
    <w:rsid w:val="009756DD"/>
    <w:rsid w:val="00980FBA"/>
    <w:rsid w:val="009825D3"/>
    <w:rsid w:val="009842A7"/>
    <w:rsid w:val="009867EF"/>
    <w:rsid w:val="00986C25"/>
    <w:rsid w:val="00990B6D"/>
    <w:rsid w:val="00991C4C"/>
    <w:rsid w:val="009928EE"/>
    <w:rsid w:val="00994CFF"/>
    <w:rsid w:val="0099550A"/>
    <w:rsid w:val="009965DB"/>
    <w:rsid w:val="00996BFE"/>
    <w:rsid w:val="00997299"/>
    <w:rsid w:val="009979F1"/>
    <w:rsid w:val="00997D90"/>
    <w:rsid w:val="009A1300"/>
    <w:rsid w:val="009A174D"/>
    <w:rsid w:val="009A26A9"/>
    <w:rsid w:val="009A3413"/>
    <w:rsid w:val="009A55D6"/>
    <w:rsid w:val="009A6A8D"/>
    <w:rsid w:val="009A7214"/>
    <w:rsid w:val="009B2221"/>
    <w:rsid w:val="009B3898"/>
    <w:rsid w:val="009B394A"/>
    <w:rsid w:val="009B3F67"/>
    <w:rsid w:val="009B609F"/>
    <w:rsid w:val="009B6DF4"/>
    <w:rsid w:val="009B6E6F"/>
    <w:rsid w:val="009B6EF0"/>
    <w:rsid w:val="009B6F75"/>
    <w:rsid w:val="009C03A1"/>
    <w:rsid w:val="009C0701"/>
    <w:rsid w:val="009C1C06"/>
    <w:rsid w:val="009C2193"/>
    <w:rsid w:val="009C2D66"/>
    <w:rsid w:val="009C2D88"/>
    <w:rsid w:val="009C3E18"/>
    <w:rsid w:val="009C655E"/>
    <w:rsid w:val="009D200F"/>
    <w:rsid w:val="009D2152"/>
    <w:rsid w:val="009D2202"/>
    <w:rsid w:val="009D38A9"/>
    <w:rsid w:val="009D5760"/>
    <w:rsid w:val="009D6058"/>
    <w:rsid w:val="009D6450"/>
    <w:rsid w:val="009E0949"/>
    <w:rsid w:val="009E095B"/>
    <w:rsid w:val="009E10FE"/>
    <w:rsid w:val="009E1657"/>
    <w:rsid w:val="009E3904"/>
    <w:rsid w:val="009E39D7"/>
    <w:rsid w:val="009E5912"/>
    <w:rsid w:val="009E5BB7"/>
    <w:rsid w:val="009F4F8B"/>
    <w:rsid w:val="009F5C26"/>
    <w:rsid w:val="009F63E9"/>
    <w:rsid w:val="00A0029F"/>
    <w:rsid w:val="00A00AB3"/>
    <w:rsid w:val="00A0282D"/>
    <w:rsid w:val="00A078FC"/>
    <w:rsid w:val="00A10719"/>
    <w:rsid w:val="00A122D6"/>
    <w:rsid w:val="00A13300"/>
    <w:rsid w:val="00A15530"/>
    <w:rsid w:val="00A16D2F"/>
    <w:rsid w:val="00A2098A"/>
    <w:rsid w:val="00A2278B"/>
    <w:rsid w:val="00A23396"/>
    <w:rsid w:val="00A23A4D"/>
    <w:rsid w:val="00A23DD4"/>
    <w:rsid w:val="00A24989"/>
    <w:rsid w:val="00A26C26"/>
    <w:rsid w:val="00A26F37"/>
    <w:rsid w:val="00A27954"/>
    <w:rsid w:val="00A30DF8"/>
    <w:rsid w:val="00A314CF"/>
    <w:rsid w:val="00A32044"/>
    <w:rsid w:val="00A32987"/>
    <w:rsid w:val="00A3541A"/>
    <w:rsid w:val="00A358CB"/>
    <w:rsid w:val="00A35D13"/>
    <w:rsid w:val="00A3663B"/>
    <w:rsid w:val="00A366A1"/>
    <w:rsid w:val="00A37078"/>
    <w:rsid w:val="00A42BB6"/>
    <w:rsid w:val="00A43BEF"/>
    <w:rsid w:val="00A441B5"/>
    <w:rsid w:val="00A44AD6"/>
    <w:rsid w:val="00A45B15"/>
    <w:rsid w:val="00A50A54"/>
    <w:rsid w:val="00A50AD2"/>
    <w:rsid w:val="00A51E8D"/>
    <w:rsid w:val="00A532F8"/>
    <w:rsid w:val="00A53FDA"/>
    <w:rsid w:val="00A542A1"/>
    <w:rsid w:val="00A54C1B"/>
    <w:rsid w:val="00A54CC4"/>
    <w:rsid w:val="00A566C4"/>
    <w:rsid w:val="00A56FE9"/>
    <w:rsid w:val="00A577FB"/>
    <w:rsid w:val="00A57A99"/>
    <w:rsid w:val="00A61B55"/>
    <w:rsid w:val="00A66C70"/>
    <w:rsid w:val="00A6751D"/>
    <w:rsid w:val="00A675F8"/>
    <w:rsid w:val="00A7071F"/>
    <w:rsid w:val="00A70E0E"/>
    <w:rsid w:val="00A71DC4"/>
    <w:rsid w:val="00A7231B"/>
    <w:rsid w:val="00A7339B"/>
    <w:rsid w:val="00A73CCC"/>
    <w:rsid w:val="00A74526"/>
    <w:rsid w:val="00A77C9E"/>
    <w:rsid w:val="00A8074C"/>
    <w:rsid w:val="00A814F4"/>
    <w:rsid w:val="00A82A15"/>
    <w:rsid w:val="00A82B60"/>
    <w:rsid w:val="00A82FAD"/>
    <w:rsid w:val="00A835C4"/>
    <w:rsid w:val="00A8370E"/>
    <w:rsid w:val="00A85813"/>
    <w:rsid w:val="00A85F05"/>
    <w:rsid w:val="00A87307"/>
    <w:rsid w:val="00A87E35"/>
    <w:rsid w:val="00A87F74"/>
    <w:rsid w:val="00A90142"/>
    <w:rsid w:val="00A90341"/>
    <w:rsid w:val="00A90751"/>
    <w:rsid w:val="00A90C34"/>
    <w:rsid w:val="00A96639"/>
    <w:rsid w:val="00A97E9E"/>
    <w:rsid w:val="00AA354F"/>
    <w:rsid w:val="00AA3AD1"/>
    <w:rsid w:val="00AA64B5"/>
    <w:rsid w:val="00AA670D"/>
    <w:rsid w:val="00AA75DD"/>
    <w:rsid w:val="00AB0CDA"/>
    <w:rsid w:val="00AB3D2D"/>
    <w:rsid w:val="00AB4FF9"/>
    <w:rsid w:val="00AB6087"/>
    <w:rsid w:val="00AB7843"/>
    <w:rsid w:val="00AB7A05"/>
    <w:rsid w:val="00AC0AD4"/>
    <w:rsid w:val="00AC0C58"/>
    <w:rsid w:val="00AC0F05"/>
    <w:rsid w:val="00AC1B80"/>
    <w:rsid w:val="00AC237B"/>
    <w:rsid w:val="00AC3662"/>
    <w:rsid w:val="00AC394B"/>
    <w:rsid w:val="00AC4B8D"/>
    <w:rsid w:val="00AC539C"/>
    <w:rsid w:val="00AC5490"/>
    <w:rsid w:val="00AC69AE"/>
    <w:rsid w:val="00AC71D2"/>
    <w:rsid w:val="00AC720E"/>
    <w:rsid w:val="00AC7763"/>
    <w:rsid w:val="00AD4585"/>
    <w:rsid w:val="00AD4738"/>
    <w:rsid w:val="00AD4CB6"/>
    <w:rsid w:val="00AD7F5E"/>
    <w:rsid w:val="00AE0B8B"/>
    <w:rsid w:val="00AE11DE"/>
    <w:rsid w:val="00AE12CF"/>
    <w:rsid w:val="00AE200F"/>
    <w:rsid w:val="00AE21FC"/>
    <w:rsid w:val="00AE51B6"/>
    <w:rsid w:val="00AE5992"/>
    <w:rsid w:val="00AE5E07"/>
    <w:rsid w:val="00AE6A6D"/>
    <w:rsid w:val="00AF19EE"/>
    <w:rsid w:val="00AF3F41"/>
    <w:rsid w:val="00AF486D"/>
    <w:rsid w:val="00AF4ED9"/>
    <w:rsid w:val="00AF4FEA"/>
    <w:rsid w:val="00AF503E"/>
    <w:rsid w:val="00AF5D00"/>
    <w:rsid w:val="00AF612E"/>
    <w:rsid w:val="00AF6508"/>
    <w:rsid w:val="00AF65B4"/>
    <w:rsid w:val="00B01167"/>
    <w:rsid w:val="00B02C7A"/>
    <w:rsid w:val="00B03C9D"/>
    <w:rsid w:val="00B060AE"/>
    <w:rsid w:val="00B06C49"/>
    <w:rsid w:val="00B103E1"/>
    <w:rsid w:val="00B11E64"/>
    <w:rsid w:val="00B14090"/>
    <w:rsid w:val="00B15BCB"/>
    <w:rsid w:val="00B173CB"/>
    <w:rsid w:val="00B17630"/>
    <w:rsid w:val="00B20264"/>
    <w:rsid w:val="00B21C43"/>
    <w:rsid w:val="00B21D6C"/>
    <w:rsid w:val="00B2269D"/>
    <w:rsid w:val="00B326AB"/>
    <w:rsid w:val="00B32BDD"/>
    <w:rsid w:val="00B351AD"/>
    <w:rsid w:val="00B351B8"/>
    <w:rsid w:val="00B368AE"/>
    <w:rsid w:val="00B3707E"/>
    <w:rsid w:val="00B3746D"/>
    <w:rsid w:val="00B4031F"/>
    <w:rsid w:val="00B41D85"/>
    <w:rsid w:val="00B4241E"/>
    <w:rsid w:val="00B426D7"/>
    <w:rsid w:val="00B42AB6"/>
    <w:rsid w:val="00B43ABA"/>
    <w:rsid w:val="00B44760"/>
    <w:rsid w:val="00B45D63"/>
    <w:rsid w:val="00B471E9"/>
    <w:rsid w:val="00B47477"/>
    <w:rsid w:val="00B4780C"/>
    <w:rsid w:val="00B54934"/>
    <w:rsid w:val="00B56A9F"/>
    <w:rsid w:val="00B645DD"/>
    <w:rsid w:val="00B656C6"/>
    <w:rsid w:val="00B656FC"/>
    <w:rsid w:val="00B661B0"/>
    <w:rsid w:val="00B705CF"/>
    <w:rsid w:val="00B70DA2"/>
    <w:rsid w:val="00B7468E"/>
    <w:rsid w:val="00B74D5F"/>
    <w:rsid w:val="00B76017"/>
    <w:rsid w:val="00B7703E"/>
    <w:rsid w:val="00B80E98"/>
    <w:rsid w:val="00B811F0"/>
    <w:rsid w:val="00B815EA"/>
    <w:rsid w:val="00B86459"/>
    <w:rsid w:val="00B86CA6"/>
    <w:rsid w:val="00B875D7"/>
    <w:rsid w:val="00B87EEB"/>
    <w:rsid w:val="00B87FA0"/>
    <w:rsid w:val="00B9505D"/>
    <w:rsid w:val="00B9597C"/>
    <w:rsid w:val="00B95A56"/>
    <w:rsid w:val="00B9635A"/>
    <w:rsid w:val="00B97515"/>
    <w:rsid w:val="00BA1589"/>
    <w:rsid w:val="00BA270C"/>
    <w:rsid w:val="00BA28F2"/>
    <w:rsid w:val="00BA4048"/>
    <w:rsid w:val="00BA4E85"/>
    <w:rsid w:val="00BA69AA"/>
    <w:rsid w:val="00BA703B"/>
    <w:rsid w:val="00BA721D"/>
    <w:rsid w:val="00BB0C6D"/>
    <w:rsid w:val="00BB210F"/>
    <w:rsid w:val="00BB27BA"/>
    <w:rsid w:val="00BB4DFC"/>
    <w:rsid w:val="00BB7E8F"/>
    <w:rsid w:val="00BC026A"/>
    <w:rsid w:val="00BC0F63"/>
    <w:rsid w:val="00BC122C"/>
    <w:rsid w:val="00BC2521"/>
    <w:rsid w:val="00BC420B"/>
    <w:rsid w:val="00BC4CA1"/>
    <w:rsid w:val="00BC4DB5"/>
    <w:rsid w:val="00BC5BEE"/>
    <w:rsid w:val="00BD1677"/>
    <w:rsid w:val="00BD1DF0"/>
    <w:rsid w:val="00BD1EC1"/>
    <w:rsid w:val="00BD27BA"/>
    <w:rsid w:val="00BD41BC"/>
    <w:rsid w:val="00BD707C"/>
    <w:rsid w:val="00BD7398"/>
    <w:rsid w:val="00BD7EDF"/>
    <w:rsid w:val="00BE24E9"/>
    <w:rsid w:val="00BE389F"/>
    <w:rsid w:val="00BE3EA0"/>
    <w:rsid w:val="00BE47B2"/>
    <w:rsid w:val="00BE6541"/>
    <w:rsid w:val="00BF034B"/>
    <w:rsid w:val="00BF2615"/>
    <w:rsid w:val="00BF264B"/>
    <w:rsid w:val="00BF5600"/>
    <w:rsid w:val="00C022DB"/>
    <w:rsid w:val="00C03251"/>
    <w:rsid w:val="00C04BE3"/>
    <w:rsid w:val="00C05161"/>
    <w:rsid w:val="00C051FE"/>
    <w:rsid w:val="00C06392"/>
    <w:rsid w:val="00C07616"/>
    <w:rsid w:val="00C11E36"/>
    <w:rsid w:val="00C15556"/>
    <w:rsid w:val="00C159EA"/>
    <w:rsid w:val="00C20918"/>
    <w:rsid w:val="00C22933"/>
    <w:rsid w:val="00C2450F"/>
    <w:rsid w:val="00C260F6"/>
    <w:rsid w:val="00C263E2"/>
    <w:rsid w:val="00C26578"/>
    <w:rsid w:val="00C274F6"/>
    <w:rsid w:val="00C313C7"/>
    <w:rsid w:val="00C3226D"/>
    <w:rsid w:val="00C34F49"/>
    <w:rsid w:val="00C35991"/>
    <w:rsid w:val="00C3770B"/>
    <w:rsid w:val="00C37BE0"/>
    <w:rsid w:val="00C37F01"/>
    <w:rsid w:val="00C406DD"/>
    <w:rsid w:val="00C4157D"/>
    <w:rsid w:val="00C44968"/>
    <w:rsid w:val="00C44A3A"/>
    <w:rsid w:val="00C501A8"/>
    <w:rsid w:val="00C550F4"/>
    <w:rsid w:val="00C555D6"/>
    <w:rsid w:val="00C5617E"/>
    <w:rsid w:val="00C568A3"/>
    <w:rsid w:val="00C57D8F"/>
    <w:rsid w:val="00C60154"/>
    <w:rsid w:val="00C60C27"/>
    <w:rsid w:val="00C62189"/>
    <w:rsid w:val="00C63370"/>
    <w:rsid w:val="00C65A7C"/>
    <w:rsid w:val="00C6781D"/>
    <w:rsid w:val="00C70B74"/>
    <w:rsid w:val="00C715D1"/>
    <w:rsid w:val="00C7407A"/>
    <w:rsid w:val="00C74EC6"/>
    <w:rsid w:val="00C75115"/>
    <w:rsid w:val="00C75168"/>
    <w:rsid w:val="00C763CD"/>
    <w:rsid w:val="00C76BBF"/>
    <w:rsid w:val="00C76BEE"/>
    <w:rsid w:val="00C80EDA"/>
    <w:rsid w:val="00C81B8B"/>
    <w:rsid w:val="00C837D3"/>
    <w:rsid w:val="00C8516C"/>
    <w:rsid w:val="00C8617F"/>
    <w:rsid w:val="00C87C12"/>
    <w:rsid w:val="00C93199"/>
    <w:rsid w:val="00C935A0"/>
    <w:rsid w:val="00C94BBA"/>
    <w:rsid w:val="00C94D07"/>
    <w:rsid w:val="00C96144"/>
    <w:rsid w:val="00CA0092"/>
    <w:rsid w:val="00CA23B8"/>
    <w:rsid w:val="00CA602A"/>
    <w:rsid w:val="00CA62A9"/>
    <w:rsid w:val="00CA6BC3"/>
    <w:rsid w:val="00CA703F"/>
    <w:rsid w:val="00CA748E"/>
    <w:rsid w:val="00CB0BCE"/>
    <w:rsid w:val="00CB0E7E"/>
    <w:rsid w:val="00CB326C"/>
    <w:rsid w:val="00CB47D7"/>
    <w:rsid w:val="00CB6315"/>
    <w:rsid w:val="00CB7D0C"/>
    <w:rsid w:val="00CC0D8C"/>
    <w:rsid w:val="00CC0F93"/>
    <w:rsid w:val="00CC1C6E"/>
    <w:rsid w:val="00CC238C"/>
    <w:rsid w:val="00CC4722"/>
    <w:rsid w:val="00CC52F7"/>
    <w:rsid w:val="00CC609F"/>
    <w:rsid w:val="00CC7EF0"/>
    <w:rsid w:val="00CD5C09"/>
    <w:rsid w:val="00CD60E9"/>
    <w:rsid w:val="00CD6108"/>
    <w:rsid w:val="00CD7A9D"/>
    <w:rsid w:val="00CD7C7C"/>
    <w:rsid w:val="00CE2379"/>
    <w:rsid w:val="00CE29E2"/>
    <w:rsid w:val="00CE2B66"/>
    <w:rsid w:val="00CE5514"/>
    <w:rsid w:val="00CE7ACD"/>
    <w:rsid w:val="00CF103B"/>
    <w:rsid w:val="00CF4F36"/>
    <w:rsid w:val="00CF6EFA"/>
    <w:rsid w:val="00D003E2"/>
    <w:rsid w:val="00D017AC"/>
    <w:rsid w:val="00D01841"/>
    <w:rsid w:val="00D03082"/>
    <w:rsid w:val="00D0438A"/>
    <w:rsid w:val="00D05837"/>
    <w:rsid w:val="00D064DC"/>
    <w:rsid w:val="00D07A58"/>
    <w:rsid w:val="00D10A04"/>
    <w:rsid w:val="00D116EB"/>
    <w:rsid w:val="00D11FD8"/>
    <w:rsid w:val="00D166EC"/>
    <w:rsid w:val="00D16D3C"/>
    <w:rsid w:val="00D214A2"/>
    <w:rsid w:val="00D233A6"/>
    <w:rsid w:val="00D24522"/>
    <w:rsid w:val="00D24F9D"/>
    <w:rsid w:val="00D25373"/>
    <w:rsid w:val="00D27977"/>
    <w:rsid w:val="00D30975"/>
    <w:rsid w:val="00D3101C"/>
    <w:rsid w:val="00D31BEE"/>
    <w:rsid w:val="00D31CED"/>
    <w:rsid w:val="00D3255C"/>
    <w:rsid w:val="00D3261C"/>
    <w:rsid w:val="00D352CF"/>
    <w:rsid w:val="00D35439"/>
    <w:rsid w:val="00D3581B"/>
    <w:rsid w:val="00D36209"/>
    <w:rsid w:val="00D362F5"/>
    <w:rsid w:val="00D365FB"/>
    <w:rsid w:val="00D36DE1"/>
    <w:rsid w:val="00D3740C"/>
    <w:rsid w:val="00D37568"/>
    <w:rsid w:val="00D41C05"/>
    <w:rsid w:val="00D430B0"/>
    <w:rsid w:val="00D44653"/>
    <w:rsid w:val="00D45128"/>
    <w:rsid w:val="00D46473"/>
    <w:rsid w:val="00D478AD"/>
    <w:rsid w:val="00D50AF8"/>
    <w:rsid w:val="00D510A8"/>
    <w:rsid w:val="00D525F5"/>
    <w:rsid w:val="00D52E1F"/>
    <w:rsid w:val="00D54897"/>
    <w:rsid w:val="00D54DB9"/>
    <w:rsid w:val="00D56446"/>
    <w:rsid w:val="00D61F4D"/>
    <w:rsid w:val="00D62951"/>
    <w:rsid w:val="00D65D1E"/>
    <w:rsid w:val="00D66DB2"/>
    <w:rsid w:val="00D72114"/>
    <w:rsid w:val="00D72768"/>
    <w:rsid w:val="00D7449E"/>
    <w:rsid w:val="00D748B5"/>
    <w:rsid w:val="00D77146"/>
    <w:rsid w:val="00D800B5"/>
    <w:rsid w:val="00D820F2"/>
    <w:rsid w:val="00D83BB4"/>
    <w:rsid w:val="00D83EAB"/>
    <w:rsid w:val="00D8479D"/>
    <w:rsid w:val="00D84C1F"/>
    <w:rsid w:val="00D84F82"/>
    <w:rsid w:val="00D85500"/>
    <w:rsid w:val="00D874ED"/>
    <w:rsid w:val="00D878E7"/>
    <w:rsid w:val="00D900E8"/>
    <w:rsid w:val="00D90110"/>
    <w:rsid w:val="00D91073"/>
    <w:rsid w:val="00D9107A"/>
    <w:rsid w:val="00D91F5F"/>
    <w:rsid w:val="00D922D6"/>
    <w:rsid w:val="00D92B6A"/>
    <w:rsid w:val="00D937ED"/>
    <w:rsid w:val="00D94267"/>
    <w:rsid w:val="00DA2289"/>
    <w:rsid w:val="00DA2912"/>
    <w:rsid w:val="00DA388F"/>
    <w:rsid w:val="00DA38BA"/>
    <w:rsid w:val="00DA3D22"/>
    <w:rsid w:val="00DA59F8"/>
    <w:rsid w:val="00DA73E5"/>
    <w:rsid w:val="00DB1075"/>
    <w:rsid w:val="00DB2807"/>
    <w:rsid w:val="00DB2845"/>
    <w:rsid w:val="00DB3036"/>
    <w:rsid w:val="00DB49F0"/>
    <w:rsid w:val="00DB52AF"/>
    <w:rsid w:val="00DB5365"/>
    <w:rsid w:val="00DB6ECE"/>
    <w:rsid w:val="00DC0F65"/>
    <w:rsid w:val="00DC152B"/>
    <w:rsid w:val="00DC3AE5"/>
    <w:rsid w:val="00DC57C9"/>
    <w:rsid w:val="00DC5D49"/>
    <w:rsid w:val="00DD060D"/>
    <w:rsid w:val="00DD1518"/>
    <w:rsid w:val="00DD1572"/>
    <w:rsid w:val="00DD22C8"/>
    <w:rsid w:val="00DD2594"/>
    <w:rsid w:val="00DD28DB"/>
    <w:rsid w:val="00DD2D02"/>
    <w:rsid w:val="00DD41DD"/>
    <w:rsid w:val="00DD4A24"/>
    <w:rsid w:val="00DD4E38"/>
    <w:rsid w:val="00DD5288"/>
    <w:rsid w:val="00DE08F3"/>
    <w:rsid w:val="00DE2017"/>
    <w:rsid w:val="00DF05B7"/>
    <w:rsid w:val="00DF4A6F"/>
    <w:rsid w:val="00DF5AE6"/>
    <w:rsid w:val="00DF606A"/>
    <w:rsid w:val="00E02D78"/>
    <w:rsid w:val="00E04498"/>
    <w:rsid w:val="00E04FAC"/>
    <w:rsid w:val="00E05A81"/>
    <w:rsid w:val="00E05E71"/>
    <w:rsid w:val="00E06525"/>
    <w:rsid w:val="00E10172"/>
    <w:rsid w:val="00E10A6F"/>
    <w:rsid w:val="00E10BB8"/>
    <w:rsid w:val="00E10BF8"/>
    <w:rsid w:val="00E1302A"/>
    <w:rsid w:val="00E13FF1"/>
    <w:rsid w:val="00E14376"/>
    <w:rsid w:val="00E143B6"/>
    <w:rsid w:val="00E14933"/>
    <w:rsid w:val="00E16B5F"/>
    <w:rsid w:val="00E17053"/>
    <w:rsid w:val="00E17DBF"/>
    <w:rsid w:val="00E17DD5"/>
    <w:rsid w:val="00E206DD"/>
    <w:rsid w:val="00E21D56"/>
    <w:rsid w:val="00E224D0"/>
    <w:rsid w:val="00E23D83"/>
    <w:rsid w:val="00E254BE"/>
    <w:rsid w:val="00E26542"/>
    <w:rsid w:val="00E26754"/>
    <w:rsid w:val="00E31301"/>
    <w:rsid w:val="00E3133D"/>
    <w:rsid w:val="00E357FC"/>
    <w:rsid w:val="00E36E4E"/>
    <w:rsid w:val="00E37D9E"/>
    <w:rsid w:val="00E41921"/>
    <w:rsid w:val="00E41D51"/>
    <w:rsid w:val="00E43780"/>
    <w:rsid w:val="00E44F7C"/>
    <w:rsid w:val="00E4553A"/>
    <w:rsid w:val="00E45711"/>
    <w:rsid w:val="00E45800"/>
    <w:rsid w:val="00E506BE"/>
    <w:rsid w:val="00E51B83"/>
    <w:rsid w:val="00E54846"/>
    <w:rsid w:val="00E55B25"/>
    <w:rsid w:val="00E55CBD"/>
    <w:rsid w:val="00E60C70"/>
    <w:rsid w:val="00E61CD2"/>
    <w:rsid w:val="00E61FE2"/>
    <w:rsid w:val="00E62065"/>
    <w:rsid w:val="00E621D0"/>
    <w:rsid w:val="00E63936"/>
    <w:rsid w:val="00E63A47"/>
    <w:rsid w:val="00E63ECC"/>
    <w:rsid w:val="00E66EE3"/>
    <w:rsid w:val="00E77FF2"/>
    <w:rsid w:val="00E82008"/>
    <w:rsid w:val="00E82E58"/>
    <w:rsid w:val="00E836D2"/>
    <w:rsid w:val="00E843A7"/>
    <w:rsid w:val="00E84AEB"/>
    <w:rsid w:val="00E8582E"/>
    <w:rsid w:val="00E876E9"/>
    <w:rsid w:val="00E90380"/>
    <w:rsid w:val="00E939DF"/>
    <w:rsid w:val="00E9467E"/>
    <w:rsid w:val="00E95AA9"/>
    <w:rsid w:val="00E97D44"/>
    <w:rsid w:val="00EA05E3"/>
    <w:rsid w:val="00EA0DAF"/>
    <w:rsid w:val="00EA2FBB"/>
    <w:rsid w:val="00EA37C5"/>
    <w:rsid w:val="00EA5BA6"/>
    <w:rsid w:val="00EB3451"/>
    <w:rsid w:val="00EB7839"/>
    <w:rsid w:val="00EB7DD6"/>
    <w:rsid w:val="00EC0A6D"/>
    <w:rsid w:val="00EC1E64"/>
    <w:rsid w:val="00EC1EFE"/>
    <w:rsid w:val="00EC431B"/>
    <w:rsid w:val="00EC4654"/>
    <w:rsid w:val="00EC5494"/>
    <w:rsid w:val="00EC657D"/>
    <w:rsid w:val="00ED3181"/>
    <w:rsid w:val="00ED356F"/>
    <w:rsid w:val="00ED35BF"/>
    <w:rsid w:val="00ED4052"/>
    <w:rsid w:val="00ED4718"/>
    <w:rsid w:val="00ED5E34"/>
    <w:rsid w:val="00ED5F4E"/>
    <w:rsid w:val="00ED62EB"/>
    <w:rsid w:val="00ED7DC8"/>
    <w:rsid w:val="00EE0198"/>
    <w:rsid w:val="00EE126A"/>
    <w:rsid w:val="00EE2421"/>
    <w:rsid w:val="00EE243A"/>
    <w:rsid w:val="00EE316E"/>
    <w:rsid w:val="00EE500E"/>
    <w:rsid w:val="00EE56E5"/>
    <w:rsid w:val="00EE67A6"/>
    <w:rsid w:val="00EF0726"/>
    <w:rsid w:val="00EF0F5E"/>
    <w:rsid w:val="00EF1241"/>
    <w:rsid w:val="00EF2288"/>
    <w:rsid w:val="00EF2719"/>
    <w:rsid w:val="00EF5829"/>
    <w:rsid w:val="00EF5B2A"/>
    <w:rsid w:val="00EF64FF"/>
    <w:rsid w:val="00F00591"/>
    <w:rsid w:val="00F07301"/>
    <w:rsid w:val="00F101B2"/>
    <w:rsid w:val="00F12777"/>
    <w:rsid w:val="00F14D1C"/>
    <w:rsid w:val="00F14D60"/>
    <w:rsid w:val="00F23B00"/>
    <w:rsid w:val="00F2401C"/>
    <w:rsid w:val="00F259E4"/>
    <w:rsid w:val="00F262C3"/>
    <w:rsid w:val="00F26960"/>
    <w:rsid w:val="00F26EA1"/>
    <w:rsid w:val="00F309E4"/>
    <w:rsid w:val="00F30A5E"/>
    <w:rsid w:val="00F330EA"/>
    <w:rsid w:val="00F34248"/>
    <w:rsid w:val="00F34E32"/>
    <w:rsid w:val="00F35AAD"/>
    <w:rsid w:val="00F35F7D"/>
    <w:rsid w:val="00F36C98"/>
    <w:rsid w:val="00F36F42"/>
    <w:rsid w:val="00F3758B"/>
    <w:rsid w:val="00F3780B"/>
    <w:rsid w:val="00F415DE"/>
    <w:rsid w:val="00F4253F"/>
    <w:rsid w:val="00F43DCD"/>
    <w:rsid w:val="00F44D25"/>
    <w:rsid w:val="00F45003"/>
    <w:rsid w:val="00F45EEF"/>
    <w:rsid w:val="00F5128F"/>
    <w:rsid w:val="00F519B7"/>
    <w:rsid w:val="00F5295B"/>
    <w:rsid w:val="00F54F78"/>
    <w:rsid w:val="00F568C1"/>
    <w:rsid w:val="00F57C83"/>
    <w:rsid w:val="00F57FF0"/>
    <w:rsid w:val="00F60E63"/>
    <w:rsid w:val="00F61AC9"/>
    <w:rsid w:val="00F62A46"/>
    <w:rsid w:val="00F6358C"/>
    <w:rsid w:val="00F64300"/>
    <w:rsid w:val="00F6579B"/>
    <w:rsid w:val="00F75700"/>
    <w:rsid w:val="00F75F3E"/>
    <w:rsid w:val="00F7670E"/>
    <w:rsid w:val="00F8093C"/>
    <w:rsid w:val="00F80EF0"/>
    <w:rsid w:val="00F80F88"/>
    <w:rsid w:val="00F829C9"/>
    <w:rsid w:val="00F860CB"/>
    <w:rsid w:val="00F8746C"/>
    <w:rsid w:val="00F87C3B"/>
    <w:rsid w:val="00F913C5"/>
    <w:rsid w:val="00F91B58"/>
    <w:rsid w:val="00F92228"/>
    <w:rsid w:val="00F922A1"/>
    <w:rsid w:val="00F940DC"/>
    <w:rsid w:val="00F9453D"/>
    <w:rsid w:val="00F97B98"/>
    <w:rsid w:val="00FA066C"/>
    <w:rsid w:val="00FA0DF4"/>
    <w:rsid w:val="00FA4C59"/>
    <w:rsid w:val="00FA5D0A"/>
    <w:rsid w:val="00FB0294"/>
    <w:rsid w:val="00FB066B"/>
    <w:rsid w:val="00FB1A9E"/>
    <w:rsid w:val="00FB2383"/>
    <w:rsid w:val="00FB2748"/>
    <w:rsid w:val="00FB2BC1"/>
    <w:rsid w:val="00FB2C15"/>
    <w:rsid w:val="00FB46D2"/>
    <w:rsid w:val="00FB67C8"/>
    <w:rsid w:val="00FB7B2A"/>
    <w:rsid w:val="00FB7CE6"/>
    <w:rsid w:val="00FC12CB"/>
    <w:rsid w:val="00FC1907"/>
    <w:rsid w:val="00FC1F4F"/>
    <w:rsid w:val="00FC32B9"/>
    <w:rsid w:val="00FC4E3C"/>
    <w:rsid w:val="00FC4E83"/>
    <w:rsid w:val="00FC4F5C"/>
    <w:rsid w:val="00FC571D"/>
    <w:rsid w:val="00FC58EC"/>
    <w:rsid w:val="00FC67B3"/>
    <w:rsid w:val="00FD1503"/>
    <w:rsid w:val="00FD1B97"/>
    <w:rsid w:val="00FD45C1"/>
    <w:rsid w:val="00FD58FE"/>
    <w:rsid w:val="00FD5A51"/>
    <w:rsid w:val="00FD5F3C"/>
    <w:rsid w:val="00FE01D0"/>
    <w:rsid w:val="00FE3C24"/>
    <w:rsid w:val="00FE55F1"/>
    <w:rsid w:val="00FE69C0"/>
    <w:rsid w:val="00FE7D4D"/>
    <w:rsid w:val="00FF0D51"/>
    <w:rsid w:val="00FF18CC"/>
    <w:rsid w:val="00FF1B4F"/>
    <w:rsid w:val="00FF33EE"/>
    <w:rsid w:val="00FF33FC"/>
    <w:rsid w:val="00FF3C2C"/>
    <w:rsid w:val="00FF4694"/>
    <w:rsid w:val="00FF60B6"/>
    <w:rsid w:val="00FF7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EAB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519B7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566C4"/>
    <w:rPr>
      <w:rFonts w:ascii="Cambria" w:hAnsi="Cambria"/>
      <w:b/>
      <w:i/>
      <w:sz w:val="28"/>
    </w:rPr>
  </w:style>
  <w:style w:type="paragraph" w:customStyle="1" w:styleId="a">
    <w:name w:val="ГФИ"/>
    <w:basedOn w:val="Normal"/>
    <w:uiPriority w:val="99"/>
    <w:rsid w:val="0054672C"/>
    <w:pPr>
      <w:widowControl w:val="0"/>
      <w:ind w:firstLine="851"/>
      <w:jc w:val="both"/>
    </w:pPr>
  </w:style>
  <w:style w:type="paragraph" w:customStyle="1" w:styleId="a0">
    <w:name w:val="фыфыф"/>
    <w:basedOn w:val="Normal"/>
    <w:uiPriority w:val="99"/>
    <w:rsid w:val="00BB7E8F"/>
    <w:pPr>
      <w:ind w:firstLine="851"/>
      <w:jc w:val="both"/>
    </w:pPr>
    <w:rPr>
      <w:sz w:val="28"/>
      <w:szCs w:val="28"/>
    </w:rPr>
  </w:style>
  <w:style w:type="paragraph" w:customStyle="1" w:styleId="a1">
    <w:name w:val="афыфыф"/>
    <w:basedOn w:val="Normal"/>
    <w:uiPriority w:val="99"/>
    <w:rsid w:val="004C21BC"/>
    <w:pPr>
      <w:ind w:firstLine="851"/>
      <w:jc w:val="both"/>
    </w:pPr>
    <w:rPr>
      <w:sz w:val="28"/>
      <w:szCs w:val="28"/>
    </w:rPr>
  </w:style>
  <w:style w:type="table" w:styleId="TableElegant">
    <w:name w:val="Table Elegant"/>
    <w:basedOn w:val="TableNormal"/>
    <w:uiPriority w:val="99"/>
    <w:rsid w:val="00D83BB4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rsid w:val="00B963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Normal"/>
    <w:uiPriority w:val="99"/>
    <w:rsid w:val="00F519B7"/>
    <w:pPr>
      <w:widowControl w:val="0"/>
      <w:overflowPunct w:val="0"/>
      <w:autoSpaceDE w:val="0"/>
      <w:autoSpaceDN w:val="0"/>
      <w:adjustRightInd w:val="0"/>
      <w:ind w:firstLine="851"/>
      <w:textAlignment w:val="baseline"/>
    </w:pPr>
    <w:rPr>
      <w:sz w:val="20"/>
      <w:szCs w:val="20"/>
    </w:rPr>
  </w:style>
  <w:style w:type="paragraph" w:customStyle="1" w:styleId="ConsNormal">
    <w:name w:val="ConsNormal"/>
    <w:uiPriority w:val="99"/>
    <w:rsid w:val="008B7C89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8B7C8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2523B"/>
  </w:style>
  <w:style w:type="character" w:styleId="Hyperlink">
    <w:name w:val="Hyperlink"/>
    <w:basedOn w:val="DefaultParagraphFont"/>
    <w:uiPriority w:val="99"/>
    <w:rsid w:val="00FD58FE"/>
    <w:rPr>
      <w:rFonts w:cs="Times New Roman"/>
      <w:color w:val="0066CC"/>
      <w:u w:val="single"/>
    </w:rPr>
  </w:style>
  <w:style w:type="character" w:styleId="Strong">
    <w:name w:val="Strong"/>
    <w:basedOn w:val="DefaultParagraphFont"/>
    <w:uiPriority w:val="99"/>
    <w:qFormat/>
    <w:rsid w:val="00FD58FE"/>
    <w:rPr>
      <w:rFonts w:cs="Times New Roman"/>
      <w:b/>
    </w:rPr>
  </w:style>
  <w:style w:type="character" w:styleId="PageNumber">
    <w:name w:val="page number"/>
    <w:basedOn w:val="DefaultParagraphFont"/>
    <w:uiPriority w:val="99"/>
    <w:rsid w:val="00B41D8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60C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566C4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A13300"/>
    <w:rPr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66C4"/>
    <w:rPr>
      <w:sz w:val="2"/>
    </w:rPr>
  </w:style>
  <w:style w:type="paragraph" w:styleId="BodyTextIndent">
    <w:name w:val="Body Text Indent"/>
    <w:basedOn w:val="Normal"/>
    <w:link w:val="BodyTextIndentChar"/>
    <w:uiPriority w:val="99"/>
    <w:rsid w:val="00E506BE"/>
    <w:pPr>
      <w:tabs>
        <w:tab w:val="left" w:pos="567"/>
      </w:tabs>
      <w:ind w:firstLine="567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566C4"/>
    <w:rPr>
      <w:sz w:val="24"/>
    </w:rPr>
  </w:style>
  <w:style w:type="paragraph" w:customStyle="1" w:styleId="ConsPlusNonformat">
    <w:name w:val="ConsPlusNonformat"/>
    <w:uiPriority w:val="99"/>
    <w:rsid w:val="006C05A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C05A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2">
    <w:name w:val="Знак"/>
    <w:basedOn w:val="Normal"/>
    <w:uiPriority w:val="99"/>
    <w:rsid w:val="008603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2A36B7"/>
    <w:pPr>
      <w:ind w:left="720"/>
      <w:contextualSpacing/>
    </w:pPr>
  </w:style>
  <w:style w:type="paragraph" w:styleId="Revision">
    <w:name w:val="Revision"/>
    <w:hidden/>
    <w:uiPriority w:val="99"/>
    <w:semiHidden/>
    <w:rsid w:val="000004A9"/>
    <w:rPr>
      <w:sz w:val="24"/>
      <w:szCs w:val="24"/>
    </w:rPr>
  </w:style>
  <w:style w:type="paragraph" w:customStyle="1" w:styleId="a3">
    <w:name w:val="Знак Знак Знак"/>
    <w:basedOn w:val="Normal"/>
    <w:uiPriority w:val="99"/>
    <w:rsid w:val="00BB4D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8D6D57"/>
    <w:pPr>
      <w:spacing w:before="100" w:beforeAutospacing="1" w:after="100" w:afterAutospacing="1"/>
    </w:pPr>
  </w:style>
  <w:style w:type="paragraph" w:customStyle="1" w:styleId="a00">
    <w:name w:val="a0"/>
    <w:basedOn w:val="Normal"/>
    <w:uiPriority w:val="99"/>
    <w:rsid w:val="008D6D5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17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7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7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1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7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17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17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17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178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178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17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17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9</Pages>
  <Words>2261</Words>
  <Characters>12894</Characters>
  <Application>Microsoft Office Outlook</Application>
  <DocSecurity>0</DocSecurity>
  <Lines>0</Lines>
  <Paragraphs>0</Paragraphs>
  <ScaleCrop>false</ScaleCrop>
  <Company>Админ. Яросл. области.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Председателя Государствевнной Думы</dc:title>
  <dc:subject/>
  <dc:creator>Афанасье Василий Николаевич.</dc:creator>
  <cp:keywords/>
  <dc:description/>
  <cp:lastModifiedBy>chernova</cp:lastModifiedBy>
  <cp:revision>2</cp:revision>
  <cp:lastPrinted>2012-07-02T04:25:00Z</cp:lastPrinted>
  <dcterms:created xsi:type="dcterms:W3CDTF">2012-07-02T04:49:00Z</dcterms:created>
  <dcterms:modified xsi:type="dcterms:W3CDTF">2012-07-02T04:49:00Z</dcterms:modified>
</cp:coreProperties>
</file>