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0" w:right="-284"/>
        <w:jc w:val="center"/>
        <w:rPr>
          <w:b w:val="1"/>
        </w:rPr>
      </w:pPr>
      <w:r>
        <w:rPr>
          <w:b w:val="1"/>
        </w:rPr>
        <w:t>П</w:t>
      </w:r>
      <w:r>
        <w:rPr>
          <w:b w:val="1"/>
        </w:rPr>
        <w:t>ояснительная записка к проекту З</w:t>
      </w:r>
      <w:r>
        <w:rPr>
          <w:b w:val="1"/>
        </w:rPr>
        <w:t xml:space="preserve">акона Ярославской области </w:t>
      </w:r>
    </w:p>
    <w:p w14:paraId="04000000">
      <w:pPr>
        <w:widowControl w:val="1"/>
        <w:ind w:firstLine="0" w:right="-284"/>
        <w:jc w:val="center"/>
        <w:rPr>
          <w:b w:val="1"/>
        </w:rPr>
      </w:pPr>
      <w:r>
        <w:rPr>
          <w:b w:val="1"/>
        </w:rPr>
        <w:t>«</w:t>
      </w:r>
      <w:r>
        <w:rPr>
          <w:b w:val="1"/>
        </w:rPr>
        <w:t>О внесении изменений в Закон Ярославской области</w:t>
      </w:r>
    </w:p>
    <w:p w14:paraId="05000000">
      <w:pPr>
        <w:widowControl w:val="1"/>
        <w:ind w:firstLine="0" w:right="-284"/>
        <w:jc w:val="center"/>
        <w:rPr>
          <w:b w:val="1"/>
        </w:rPr>
      </w:pPr>
      <w:r>
        <w:rPr>
          <w:b w:val="1"/>
        </w:rPr>
        <w:t xml:space="preserve">«О бесплатном предоставлении в собственность граждан земельных участков, находящихся в государственной или муниципальной собственности, в связи с </w:t>
      </w:r>
      <w:r>
        <w:rPr>
          <w:b w:val="1"/>
        </w:rPr>
        <w:t>проведением специальной военной операции»</w:t>
      </w:r>
    </w:p>
    <w:p w14:paraId="06000000">
      <w:pPr>
        <w:widowControl w:val="1"/>
        <w:ind w:firstLine="0" w:right="-284"/>
        <w:jc w:val="center"/>
        <w:rPr>
          <w:sz w:val="24"/>
        </w:rPr>
      </w:pPr>
    </w:p>
    <w:p w14:paraId="07000000">
      <w:bookmarkStart w:id="1" w:name="_Hlk225865777"/>
      <w:r>
        <w:t xml:space="preserve">Проект </w:t>
      </w:r>
      <w:r>
        <w:t>З</w:t>
      </w:r>
      <w:r>
        <w:t>акона Ярославской области о внесении изменений в Закон Ярославской области «О бесплатном предоставлении в собственность граждан земельных участков, находящихся в государственной или муниципальной собствен</w:t>
      </w:r>
      <w:r>
        <w:t xml:space="preserve">ности, в связи с проведением специальной военной операции» (далее – </w:t>
      </w:r>
      <w:r>
        <w:t xml:space="preserve">законопроект) </w:t>
      </w:r>
      <w:r>
        <w:t>разработан в целях усиления социальной защищ</w:t>
      </w:r>
      <w:r>
        <w:t>ё</w:t>
      </w:r>
      <w:r>
        <w:t xml:space="preserve">нности </w:t>
      </w:r>
      <w:r>
        <w:t>участников специальной военной операции в Ярославской области.</w:t>
      </w:r>
    </w:p>
    <w:p w14:paraId="08000000">
      <w:pPr>
        <w:widowControl w:val="1"/>
        <w:ind w:firstLine="708"/>
      </w:pPr>
      <w:r>
        <w:t xml:space="preserve">Законопроектом предусматривается </w:t>
      </w:r>
      <w:r>
        <w:t>расширение круга лиц, имеющих право на предоставление в собственность земельных участков – предлагается добавить к существующему кругу лиц тех граждан, которые в ходе участия в специальной военной операции были награждены медалями Российской Федерации.</w:t>
      </w:r>
    </w:p>
    <w:p w14:paraId="09000000">
      <w:pPr>
        <w:widowControl w:val="1"/>
        <w:ind w:firstLine="708"/>
      </w:pPr>
      <w:r>
        <w:t>Расширение круга участников специальной военной операции (СВО), имеющих право на бесплатное получение земельных участков, является важной мерой социальной поддержки, направленной на улучшение условий жизни военнослужащих и их семей. Это решение обосновано несколькими ключевыми факторами:</w:t>
      </w:r>
    </w:p>
    <w:p w14:paraId="0A000000">
      <w:pPr>
        <w:widowControl w:val="1"/>
        <w:ind w:firstLine="708"/>
      </w:pPr>
      <w:r>
        <w:t>Расширение прав на получение земельных участков позволяет не только самим участникам СВО, но и их родителям, супругам и другим близким родственникам получать з</w:t>
      </w:r>
      <w:r>
        <w:t>емлю в собственность. Это создас</w:t>
      </w:r>
      <w:r>
        <w:t>т дополнительные гарантии и поддержку для семей, которые могут столкнуться с трудностями в результате участия их близких в боевых действиях.</w:t>
      </w:r>
    </w:p>
    <w:p w14:paraId="0B000000">
      <w:pPr>
        <w:widowControl w:val="1"/>
        <w:ind w:firstLine="708"/>
      </w:pPr>
      <w:r>
        <w:t xml:space="preserve">Расширение прав на получение земельных участков для различных категорий граждан, включая добровольцев и членов их семей, подчеркивает важность их вклада в защиту страны. </w:t>
      </w:r>
    </w:p>
    <w:p w14:paraId="0C000000">
      <w:pPr>
        <w:widowControl w:val="1"/>
        <w:ind w:firstLine="708"/>
      </w:pPr>
      <w:r>
        <w:t>Р</w:t>
      </w:r>
      <w:bookmarkStart w:id="2" w:name="_GoBack"/>
      <w:bookmarkEnd w:id="2"/>
      <w:r>
        <w:t>асширение круга участников СВО, имеющих право на бесплатное получение земельных участков, является обоснованным и необходимым шагом для поддержки военнослужащих и их семей, а также для укрепления социальной справедливости в обществе.</w:t>
      </w:r>
    </w:p>
    <w:p w14:paraId="0D000000">
      <w:pPr>
        <w:widowControl w:val="1"/>
        <w:ind w:firstLine="708"/>
      </w:pPr>
      <w:r>
        <w:t xml:space="preserve">Принятие законопроекта </w:t>
      </w:r>
      <w:r>
        <w:t>не повлечё</w:t>
      </w:r>
      <w:r>
        <w:t xml:space="preserve">т за собой </w:t>
      </w:r>
      <w:r>
        <w:t xml:space="preserve">увеличение или </w:t>
      </w:r>
      <w:r>
        <w:t>снижение доходов областного бюджета.</w:t>
      </w:r>
      <w:bookmarkEnd w:id="1"/>
    </w:p>
    <w:sectPr>
      <w:headerReference r:id="rId1" w:type="default"/>
      <w:pgSz w:h="16838" w:orient="portrait" w:w="11906"/>
      <w:pgMar w:bottom="284" w:footer="708" w:gutter="0" w:header="708" w:left="1701" w:right="707" w:top="56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default="1" w:styleId="Style_2_ch" w:type="character">
    <w:name w:val="Normal"/>
    <w:link w:val="Style_2"/>
    <w:rPr>
      <w:rFonts w:ascii="Times New Roman" w:hAnsi="Times New Roman"/>
      <w:sz w:val="28"/>
    </w:rPr>
  </w:style>
  <w:style w:styleId="Style_3" w:type="paragraph">
    <w:name w:val="toc 2"/>
    <w:next w:val="Style_2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Основной шрифт абзаца2"/>
    <w:link w:val="Style_7_ch"/>
  </w:style>
  <w:style w:styleId="Style_7_ch" w:type="character">
    <w:name w:val="Основной шрифт абзаца2"/>
    <w:link w:val="Style_7"/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</w:rPr>
  </w:style>
  <w:style w:styleId="Style_9_ch" w:type="character">
    <w:name w:val="Endnote"/>
    <w:link w:val="Style_9"/>
    <w:rPr>
      <w:rFonts w:ascii="XO Thames" w:hAnsi="XO Thames"/>
    </w:rPr>
  </w:style>
  <w:style w:styleId="Style_10" w:type="paragraph">
    <w:name w:val="heading 3"/>
    <w:next w:val="Style_2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Normal (Web)"/>
    <w:basedOn w:val="Style_2"/>
    <w:link w:val="Style_11_ch"/>
    <w:rPr>
      <w:sz w:val="24"/>
    </w:rPr>
  </w:style>
  <w:style w:styleId="Style_11_ch" w:type="character">
    <w:name w:val="Normal (Web)"/>
    <w:basedOn w:val="Style_2_ch"/>
    <w:link w:val="Style_11"/>
    <w:rPr>
      <w:sz w:val="24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Обычный1"/>
    <w:link w:val="Style_13_ch"/>
    <w:rPr>
      <w:rFonts w:ascii="Times New Roman" w:hAnsi="Times New Roman"/>
      <w:sz w:val="28"/>
    </w:rPr>
  </w:style>
  <w:style w:styleId="Style_13_ch" w:type="character">
    <w:name w:val="Обычный1"/>
    <w:link w:val="Style_13"/>
    <w:rPr>
      <w:rFonts w:ascii="Times New Roman" w:hAnsi="Times New Roman"/>
      <w:sz w:val="28"/>
    </w:rPr>
  </w:style>
  <w:style w:styleId="Style_14" w:type="paragraph">
    <w:name w:val="Гиперссылка1"/>
    <w:basedOn w:val="Style_15"/>
    <w:link w:val="Style_14_ch"/>
    <w:rPr>
      <w:color w:themeColor="hyperlink" w:val="0000FF"/>
      <w:u w:val="single"/>
    </w:rPr>
  </w:style>
  <w:style w:styleId="Style_14_ch" w:type="character">
    <w:name w:val="Гиперссылка1"/>
    <w:basedOn w:val="Style_15_ch"/>
    <w:link w:val="Style_14"/>
    <w:rPr>
      <w:color w:themeColor="hyperlink" w:val="0000FF"/>
      <w:u w:val="single"/>
    </w:rPr>
  </w:style>
  <w:style w:styleId="Style_16" w:type="paragraph">
    <w:name w:val="toc 3"/>
    <w:next w:val="Style_2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next w:val="Style_2"/>
    <w:link w:val="Style_17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7_ch" w:type="character">
    <w:name w:val="heading 5"/>
    <w:link w:val="Style_17"/>
    <w:rPr>
      <w:rFonts w:ascii="XO Thames" w:hAnsi="XO Thames"/>
      <w:b w:val="1"/>
    </w:rPr>
  </w:style>
  <w:style w:styleId="Style_18" w:type="paragraph">
    <w:name w:val="Принят ГД"/>
    <w:basedOn w:val="Style_2"/>
    <w:link w:val="Style_18_ch"/>
    <w:pPr>
      <w:widowControl w:val="1"/>
      <w:ind w:firstLine="0"/>
    </w:pPr>
    <w:rPr>
      <w:sz w:val="24"/>
    </w:rPr>
  </w:style>
  <w:style w:styleId="Style_18_ch" w:type="character">
    <w:name w:val="Принят ГД"/>
    <w:basedOn w:val="Style_2_ch"/>
    <w:link w:val="Style_18"/>
    <w:rPr>
      <w:sz w:val="24"/>
    </w:rPr>
  </w:style>
  <w:style w:styleId="Style_19" w:type="paragraph">
    <w:name w:val="heading 1"/>
    <w:next w:val="Style_2"/>
    <w:link w:val="Style_19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</w:rPr>
  </w:style>
  <w:style w:styleId="Style_21_ch" w:type="character">
    <w:name w:val="Footnote"/>
    <w:link w:val="Style_21"/>
    <w:rPr>
      <w:rFonts w:ascii="XO Thames" w:hAnsi="XO Thames"/>
    </w:rPr>
  </w:style>
  <w:style w:styleId="Style_22" w:type="paragraph">
    <w:name w:val="toc 1"/>
    <w:next w:val="Style_2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24" w:type="paragraph">
    <w:name w:val="toc 9"/>
    <w:next w:val="Style_2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Обычный1"/>
    <w:link w:val="Style_25_ch"/>
    <w:rPr>
      <w:rFonts w:ascii="Times New Roman" w:hAnsi="Times New Roman"/>
      <w:sz w:val="28"/>
    </w:rPr>
  </w:style>
  <w:style w:styleId="Style_25_ch" w:type="character">
    <w:name w:val="Обычный1"/>
    <w:link w:val="Style_25"/>
    <w:rPr>
      <w:rFonts w:ascii="Times New Roman" w:hAnsi="Times New Roman"/>
      <w:sz w:val="28"/>
    </w:rPr>
  </w:style>
  <w:style w:styleId="Style_26" w:type="paragraph">
    <w:name w:val="toc 8"/>
    <w:next w:val="Style_2"/>
    <w:link w:val="Style_26_ch"/>
    <w:uiPriority w:val="39"/>
    <w:pPr>
      <w:widowControl w:val="1"/>
      <w:ind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footer"/>
    <w:basedOn w:val="Style_2"/>
    <w:link w:val="Style_27_ch"/>
    <w:pPr>
      <w:widowControl w:val="1"/>
      <w:tabs>
        <w:tab w:leader="none" w:pos="4677" w:val="center"/>
        <w:tab w:leader="none" w:pos="9355" w:val="right"/>
      </w:tabs>
      <w:ind/>
    </w:pPr>
  </w:style>
  <w:style w:styleId="Style_27_ch" w:type="character">
    <w:name w:val="footer"/>
    <w:basedOn w:val="Style_2_ch"/>
    <w:link w:val="Style_27"/>
  </w:style>
  <w:style w:styleId="Style_28" w:type="paragraph">
    <w:name w:val="Balloon Text"/>
    <w:basedOn w:val="Style_2"/>
    <w:link w:val="Style_28_ch"/>
    <w:rPr>
      <w:rFonts w:ascii="Tahoma" w:hAnsi="Tahoma"/>
      <w:sz w:val="16"/>
    </w:rPr>
  </w:style>
  <w:style w:styleId="Style_28_ch" w:type="character">
    <w:name w:val="Balloon Text"/>
    <w:basedOn w:val="Style_2_ch"/>
    <w:link w:val="Style_28"/>
    <w:rPr>
      <w:rFonts w:ascii="Tahoma" w:hAnsi="Tahoma"/>
      <w:sz w:val="16"/>
    </w:rPr>
  </w:style>
  <w:style w:styleId="Style_29" w:type="paragraph">
    <w:name w:val="toc 5"/>
    <w:next w:val="Style_2"/>
    <w:link w:val="Style_29_ch"/>
    <w:uiPriority w:val="39"/>
    <w:pPr>
      <w:widowControl w:val="1"/>
      <w:ind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Гипертекстовая ссылка"/>
    <w:basedOn w:val="Style_15"/>
    <w:link w:val="Style_30_ch"/>
    <w:rPr>
      <w:rFonts w:ascii="Times New Roman" w:hAnsi="Times New Roman"/>
    </w:rPr>
  </w:style>
  <w:style w:styleId="Style_30_ch" w:type="character">
    <w:name w:val="Гипертекстовая ссылка"/>
    <w:basedOn w:val="Style_15_ch"/>
    <w:link w:val="Style_30"/>
    <w:rPr>
      <w:rFonts w:ascii="Times New Roman" w:hAnsi="Times New Roman"/>
    </w:rPr>
  </w:style>
  <w:style w:styleId="Style_31" w:type="paragraph">
    <w:name w:val="Subtitle"/>
    <w:next w:val="Style_2"/>
    <w:link w:val="Style_3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2"/>
    <w:link w:val="Style_3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2"/>
    <w:link w:val="Style_3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List Paragraph"/>
    <w:basedOn w:val="Style_2"/>
    <w:link w:val="Style_34_ch"/>
    <w:pPr>
      <w:widowControl w:val="1"/>
      <w:ind w:left="720"/>
      <w:contextualSpacing w:val="1"/>
    </w:pPr>
  </w:style>
  <w:style w:styleId="Style_34_ch" w:type="character">
    <w:name w:val="List Paragraph"/>
    <w:basedOn w:val="Style_2_ch"/>
    <w:link w:val="Style_34"/>
  </w:style>
  <w:style w:styleId="Style_35" w:type="paragraph">
    <w:name w:val="heading 2"/>
    <w:next w:val="Style_2"/>
    <w:link w:val="Style_3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36" w:type="paragraph">
    <w:name w:val="ConsPlusNormal"/>
    <w:link w:val="Style_36_ch"/>
    <w:pPr>
      <w:widowControl w:val="1"/>
      <w:spacing w:after="0" w:line="240" w:lineRule="auto"/>
      <w:ind w:firstLine="720"/>
    </w:pPr>
    <w:rPr>
      <w:rFonts w:ascii="Arial" w:hAnsi="Arial"/>
      <w:sz w:val="20"/>
    </w:rPr>
  </w:style>
  <w:style w:styleId="Style_36_ch" w:type="character">
    <w:name w:val="ConsPlusNormal"/>
    <w:link w:val="Style_36"/>
    <w:rPr>
      <w:rFonts w:ascii="Arial" w:hAnsi="Arial"/>
      <w:sz w:val="20"/>
    </w:r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2026-05-25T07:45:00Z</dcterms:created>
  <dcterms:modified xsi:type="dcterms:W3CDTF">2026-06-07T14:13:00Z</dcterms:modified>
</cp:coreProperties>
</file>